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11.</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rFonts w:ascii="Times New Roman" w:hAnsi="Times New Roman"/>
          <w:sz w:val="21"/>
          <w:szCs w:val="21"/>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11.</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2"/>
        <w:gridCol w:w="750"/>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2"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6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color w:val="000000"/>
                <w:sz w:val="21"/>
                <w:szCs w:val="21"/>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Каранаева Елена Геннадьевна (квартира № 56)</w:t>
            </w:r>
            <w:r>
              <w:rPr>
                <w:rFonts w:cs="Times New Roman" w:ascii="Times New Roman" w:hAnsi="Times New Roman"/>
                <w:color w:val="000000"/>
                <w:sz w:val="21"/>
                <w:szCs w:val="21"/>
              </w:rPr>
              <w:t xml:space="preserve"> </w:t>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r>
              <w:rPr>
                <w:rFonts w:cs="Times New Roman" w:ascii="Times New Roman" w:hAnsi="Times New Roman"/>
                <w:b w:val="false"/>
                <w:i w:val="false"/>
                <w:caps w:val="false"/>
                <w:smallCaps w:val="false"/>
                <w:color w:val="000000"/>
                <w:spacing w:val="0"/>
                <w:sz w:val="21"/>
                <w:szCs w:val="21"/>
                <w:highlight w:val="white"/>
              </w:rPr>
              <w:t>Лапотко Олег Игоревич (квартира № 26)</w:t>
            </w:r>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3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pPr>
            <w:r>
              <w:rPr>
                <w:rFonts w:eastAsia="Times New Roman" w:cs="Times New Roman" w:ascii="Times New Roman" w:hAnsi="Times New Roman"/>
                <w:b w:val="false"/>
                <w:i w:val="false"/>
                <w:caps w:val="false"/>
                <w:smallCaps w:val="false"/>
                <w:color w:val="000000"/>
                <w:spacing w:val="0"/>
                <w:sz w:val="21"/>
                <w:szCs w:val="21"/>
                <w:highlight w:val="white"/>
                <w:lang w:bidi="ar-SA"/>
              </w:rPr>
              <w:t>Каранаев</w:t>
            </w:r>
            <w:r>
              <w:rPr>
                <w:rFonts w:eastAsia="Times New Roman" w:cs="Times New Roman" w:ascii="Times New Roman" w:hAnsi="Times New Roman"/>
                <w:b w:val="false"/>
                <w:i w:val="false"/>
                <w:caps w:val="false"/>
                <w:smallCaps w:val="false"/>
                <w:color w:val="000000"/>
                <w:spacing w:val="0"/>
                <w:sz w:val="21"/>
                <w:szCs w:val="21"/>
                <w:highlight w:val="white"/>
                <w:lang w:bidi="ar-SA"/>
              </w:rPr>
              <w:t>ой</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Елен</w:t>
            </w:r>
            <w:r>
              <w:rPr>
                <w:rFonts w:eastAsia="Times New Roman" w:cs="Times New Roman" w:ascii="Times New Roman" w:hAnsi="Times New Roman"/>
                <w:b w:val="false"/>
                <w:i w:val="false"/>
                <w:caps w:val="false"/>
                <w:smallCaps w:val="false"/>
                <w:color w:val="000000"/>
                <w:spacing w:val="0"/>
                <w:sz w:val="21"/>
                <w:szCs w:val="21"/>
                <w:highlight w:val="white"/>
                <w:lang w:bidi="ar-SA"/>
              </w:rPr>
              <w:t>ы</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Геннадьевн</w:t>
            </w:r>
            <w:r>
              <w:rPr>
                <w:rFonts w:eastAsia="Times New Roman" w:cs="Times New Roman" w:ascii="Times New Roman" w:hAnsi="Times New Roman"/>
                <w:b w:val="false"/>
                <w:i w:val="false"/>
                <w:caps w:val="false"/>
                <w:smallCaps w:val="false"/>
                <w:color w:val="000000"/>
                <w:spacing w:val="0"/>
                <w:sz w:val="21"/>
                <w:szCs w:val="21"/>
                <w:highlight w:val="white"/>
                <w:lang w:bidi="ar-SA"/>
              </w:rPr>
              <w:t>ы</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(квартира № 56)</w:t>
            </w:r>
          </w:p>
          <w:p>
            <w:pPr>
              <w:pStyle w:val="Normal"/>
              <w:tabs>
                <w:tab w:val="clear" w:pos="709"/>
                <w:tab w:val="left" w:pos="0" w:leader="none"/>
              </w:tabs>
              <w:ind w:right="57" w:hanging="0"/>
              <w:rPr>
                <w:rFonts w:ascii="Times New Roman" w:hAnsi="Times New Roman" w:cs="Times New Roman"/>
                <w:b/>
                <w:b/>
                <w:bCs/>
                <w:color w:val="000000"/>
                <w:sz w:val="21"/>
                <w:szCs w:val="21"/>
              </w:rPr>
            </w:pPr>
            <w:r>
              <w:rPr>
                <w:rFonts w:cs="Times New Roman" w:ascii="Times New Roman" w:hAnsi="Times New Roman"/>
                <w:b w:val="false"/>
                <w:bCs/>
                <w:i w:val="false"/>
                <w:caps w:val="false"/>
                <w:smallCaps w:val="false"/>
                <w:color w:val="000000"/>
                <w:spacing w:val="0"/>
                <w:sz w:val="21"/>
                <w:szCs w:val="21"/>
                <w:highlight w:val="white"/>
              </w:rPr>
              <w:t>Лапотко Олег</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Игоревич</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(квартира № 26)</w:t>
            </w:r>
            <w:r>
              <w:rPr>
                <w:rFonts w:cs="Times New Roman" w:ascii="Times New Roman" w:hAnsi="Times New Roman"/>
                <w:b/>
                <w:bCs/>
                <w:color w:val="000000"/>
                <w:sz w:val="21"/>
                <w:szCs w:val="21"/>
              </w:rPr>
              <w:t xml:space="preserve">  </w:t>
            </w:r>
          </w:p>
          <w:p>
            <w:pPr>
              <w:pStyle w:val="Normal"/>
              <w:tabs>
                <w:tab w:val="clear" w:pos="709"/>
                <w:tab w:val="left" w:pos="0" w:leader="none"/>
              </w:tabs>
              <w:ind w:right="57" w:hanging="0"/>
              <w:rPr>
                <w:rFonts w:ascii="Times New Roman" w:hAnsi="Times New Roman" w:cs="Times New Roman"/>
                <w:b w:val="false"/>
                <w:b w:val="false"/>
                <w:bCs w:val="false"/>
                <w:color w:val="000000"/>
                <w:sz w:val="21"/>
                <w:szCs w:val="21"/>
              </w:rPr>
            </w:pPr>
            <w:r>
              <w:rPr>
                <w:rFonts w:cs="Times New Roman" w:ascii="Times New Roman" w:hAnsi="Times New Roman"/>
                <w:b w:val="false"/>
                <w:bCs w:val="false"/>
                <w:color w:val="000000"/>
                <w:sz w:val="21"/>
                <w:szCs w:val="21"/>
              </w:rPr>
              <w:t>Цесар Валентина Ивановича ( квартира №17)</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5</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6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6</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sz w:val="21"/>
                <w:szCs w:val="21"/>
              </w:rPr>
            </w:pPr>
            <w:r>
              <w:rPr>
                <w:rFonts w:eastAsia="Times New Roman" w:cs="Times New Roman" w:ascii="Times New Roman" w:hAnsi="Times New Roman"/>
                <w:color w:val="000000"/>
                <w:sz w:val="21"/>
                <w:szCs w:val="21"/>
              </w:rPr>
              <w:t>Принятие решения об установке ИП Захарова О.В. (ИНН 910220090917) домофонов нового поколения «Умный домофон» (</w:t>
            </w:r>
            <w:r>
              <w:rPr>
                <w:rFonts w:eastAsia="Times New Roman" w:cs="Times New Roman" w:ascii="Times New Roman" w:hAnsi="Times New Roman"/>
                <w:color w:val="000000"/>
                <w:sz w:val="21"/>
                <w:szCs w:val="21"/>
                <w:lang w:val="en-US"/>
              </w:rPr>
              <w:t>IP</w:t>
            </w:r>
            <w:r>
              <w:rPr>
                <w:rFonts w:eastAsia="Times New Roman" w:cs="Times New Roman" w:ascii="Times New Roman" w:hAnsi="Times New Roman"/>
                <w:color w:val="000000"/>
                <w:sz w:val="21"/>
                <w:szCs w:val="21"/>
              </w:rPr>
              <w:t>-домофонии)  на входные двери подъездов в многоквартирном доме, и  утверждение  стоимости аренды (пользования общим имуществом) для ИП Захаровой О.В. в размере 500,00 рублей в месяц с одного коммуникационного устройства в пользу МКД, Расходование указанных средств по согласованию с Советом дома.</w:t>
            </w:r>
            <w:r>
              <w:rPr>
                <w:rFonts w:eastAsia="Times New Roman" w:cs="Times New Roman" w:ascii="Times New Roman" w:hAnsi="Times New Roman"/>
                <w:color w:val="C9211E"/>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470" w:hRule="exact"/>
        </w:trPr>
        <w:tc>
          <w:tcPr>
            <w:tcW w:w="506" w:type="dxa"/>
            <w:vMerge w:val="restart"/>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7</w:t>
            </w:r>
          </w:p>
          <w:p>
            <w:pPr>
              <w:pStyle w:val="Normal"/>
              <w:rPr>
                <w:rFonts w:ascii="Times New Roman" w:hAnsi="Times New Roman"/>
                <w:sz w:val="21"/>
                <w:szCs w:val="21"/>
              </w:rPr>
            </w:pPr>
            <w:r>
              <w:rPr>
                <w:rFonts w:eastAsia="Calibri" w:cs="Times New Roman" w:ascii="Times New Roman" w:hAnsi="Times New Roman"/>
                <w:sz w:val="21"/>
                <w:szCs w:val="21"/>
                <w:lang w:bidi="ar-SA"/>
              </w:rPr>
              <w:t xml:space="preserve">  </w:t>
            </w:r>
          </w:p>
        </w:tc>
        <w:tc>
          <w:tcPr>
            <w:tcW w:w="7872" w:type="dxa"/>
            <w:tcBorders>
              <w:left w:val="single" w:sz="2" w:space="0" w:color="000001"/>
              <w:bottom w:val="single" w:sz="4" w:space="0" w:color="000000"/>
            </w:tcBorders>
            <w:shd w:color="auto" w:fill="FFFFFF" w:val="clear"/>
          </w:tcPr>
          <w:p>
            <w:pPr>
              <w:pStyle w:val="Normal"/>
              <w:spacing w:lineRule="auto" w:line="240"/>
              <w:ind w:left="0" w:right="0" w:hanging="0"/>
              <w:jc w:val="both"/>
              <w:rPr>
                <w:rFonts w:ascii="Times New Roman" w:hAnsi="Times New Roman"/>
                <w:sz w:val="21"/>
                <w:szCs w:val="21"/>
              </w:rPr>
            </w:pPr>
            <w:r>
              <w:rPr>
                <w:rFonts w:eastAsia="Times New Roman" w:cs="Times New Roman" w:ascii="Times New Roman" w:hAnsi="Times New Roman"/>
                <w:sz w:val="21"/>
                <w:szCs w:val="21"/>
              </w:rPr>
              <w:t xml:space="preserve">Определение порядка технического обслуживания домофонов нового поколения «Умный домофон» </w:t>
            </w:r>
            <w:r>
              <w:rPr>
                <w:rFonts w:eastAsia="Times New Roman" w:cs="Times New Roman" w:ascii="Times New Roman" w:hAnsi="Times New Roman"/>
                <w:b/>
                <w:bCs/>
                <w:sz w:val="21"/>
                <w:szCs w:val="21"/>
              </w:rPr>
              <w:t>(выбрать один из вариантов):</w:t>
            </w:r>
          </w:p>
          <w:p>
            <w:pPr>
              <w:pStyle w:val="ListParagraph"/>
              <w:spacing w:lineRule="auto" w:line="240"/>
              <w:ind w:left="0" w:right="0" w:hanging="0"/>
              <w:jc w:val="both"/>
              <w:rPr>
                <w:rFonts w:eastAsia="Times New Roman" w:cs="Times New Roman"/>
                <w:b/>
                <w:b/>
                <w:bCs/>
              </w:rPr>
            </w:pPr>
            <w:r>
              <w:rPr>
                <w:rFonts w:eastAsia="Times New Roman" w:cs="Times New Roman"/>
                <w:b/>
                <w:bCs/>
              </w:rPr>
            </w:r>
          </w:p>
          <w:p>
            <w:pPr>
              <w:pStyle w:val="ListParagraph"/>
              <w:spacing w:lineRule="auto" w:line="240" w:before="0" w:after="200"/>
              <w:ind w:left="0" w:right="0" w:hanging="0"/>
              <w:contextualSpacing/>
              <w:jc w:val="both"/>
              <w:rPr>
                <w:rFonts w:ascii="Times New Roman" w:hAnsi="Times New Roman" w:eastAsia="Times New Roman" w:cs="Times New Roman"/>
                <w:color w:val="000000"/>
                <w:sz w:val="21"/>
                <w:szCs w:val="21"/>
              </w:rPr>
            </w:pPr>
            <w:r>
              <w:rPr>
                <w:rFonts w:eastAsia="Times New Roman" w:cs="Times New Roman" w:ascii="Times New Roman" w:hAnsi="Times New Roman"/>
                <w:b/>
                <w:bCs/>
                <w:color w:val="000000"/>
                <w:sz w:val="21"/>
                <w:szCs w:val="21"/>
              </w:rPr>
              <w:t>7.1. ИП Захарова О.В. п</w:t>
            </w:r>
            <w:r>
              <w:rPr>
                <w:rFonts w:eastAsia="Times New Roman" w:cs="Times New Roman" w:ascii="Times New Roman" w:hAnsi="Times New Roman"/>
                <w:color w:val="000000"/>
                <w:sz w:val="21"/>
                <w:szCs w:val="21"/>
              </w:rPr>
              <w:t>утем заключения прямых договоров с   собственниками помещений в МКД</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20" w:hRule="exact"/>
        </w:trPr>
        <w:tc>
          <w:tcPr>
            <w:tcW w:w="506" w:type="dxa"/>
            <w:vMerge w:val="continue"/>
            <w:tcBorders>
              <w:left w:val="single" w:sz="2" w:space="0" w:color="000001"/>
              <w:bottom w:val="single" w:sz="4" w:space="0" w:color="000000"/>
            </w:tcBorders>
            <w:shd w:color="auto" w:fill="FFFFFF" w:val="clear"/>
          </w:tcPr>
          <w:p>
            <w:pPr>
              <w:pStyle w:val="Normal"/>
              <w:rPr>
                <w:rFonts w:ascii="Times New Roman" w:hAnsi="Times New Roman"/>
                <w:sz w:val="21"/>
                <w:szCs w:val="21"/>
              </w:rPr>
            </w:pPr>
            <w:r>
              <w:rPr>
                <w:rFonts w:ascii="Times New Roman" w:hAnsi="Times New Roman"/>
                <w:sz w:val="21"/>
                <w:szCs w:val="21"/>
              </w:rPr>
            </w:r>
          </w:p>
        </w:tc>
        <w:tc>
          <w:tcPr>
            <w:tcW w:w="7872"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sz w:val="21"/>
                <w:szCs w:val="21"/>
              </w:rPr>
            </w:pPr>
            <w:r>
              <w:rPr>
                <w:rFonts w:eastAsia="Times New Roman" w:cs="Times New Roman" w:ascii="Times New Roman" w:hAnsi="Times New Roman"/>
                <w:b/>
                <w:bCs/>
                <w:color w:val="000000"/>
                <w:sz w:val="21"/>
                <w:szCs w:val="21"/>
              </w:rPr>
              <w:t>7.2. Или ООО «Монолит-Комфорт»</w:t>
            </w:r>
            <w:r>
              <w:rPr>
                <w:rFonts w:eastAsia="Times New Roman" w:cs="Times New Roman" w:ascii="Times New Roman" w:hAnsi="Times New Roman"/>
                <w:color w:val="000000"/>
                <w:sz w:val="21"/>
                <w:szCs w:val="21"/>
              </w:rPr>
              <w:t xml:space="preserve"> путем выставления ежемесячной платы собственникам помещений в МКД  в размере 120 рублей с помещения </w:t>
            </w:r>
            <w:r>
              <w:rPr>
                <w:rFonts w:eastAsia="Times New Roman" w:cs="Times New Roman" w:ascii="Times New Roman" w:hAnsi="Times New Roman"/>
                <w:b/>
                <w:bCs/>
                <w:color w:val="000000"/>
                <w:sz w:val="21"/>
                <w:szCs w:val="21"/>
              </w:rPr>
              <w:t>с 01.06.2025 года.</w:t>
            </w:r>
          </w:p>
        </w:tc>
        <w:tc>
          <w:tcPr>
            <w:tcW w:w="7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265" w:hRule="exact"/>
        </w:trPr>
        <w:tc>
          <w:tcPr>
            <w:tcW w:w="506"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8</w:t>
            </w:r>
          </w:p>
        </w:tc>
        <w:tc>
          <w:tcPr>
            <w:tcW w:w="7872" w:type="dxa"/>
            <w:tcBorders>
              <w:top w:val="single" w:sz="4" w:space="0" w:color="000000"/>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2000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top w:val="single" w:sz="4" w:space="0" w:color="000000"/>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top w:val="single" w:sz="4" w:space="0" w:color="000000"/>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9</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10</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11</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cs="Times New Roman" w:ascii="Times New Roman" w:hAnsi="Times New Roman"/>
                <w:sz w:val="21"/>
                <w:szCs w:val="21"/>
              </w:rPr>
              <w:t>12</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13</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14</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15</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16</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0" w:name="OCRUncertain152"/>
      <w:bookmarkStart w:id="1" w:name="OCRUncertain1521"/>
      <w:bookmarkEnd w:id="0"/>
      <w:bookmarkEnd w:id="1"/>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2024-12-27T12:21:49Z</dcterms:modified>
  <cp:revision>40</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