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ascii="Times New Roman" w:hAnsi="Times New Roman"/>
          <w:b/>
          <w:sz w:val="21"/>
          <w:szCs w:val="21"/>
        </w:rPr>
        <w:t xml:space="preserve">Решение собственника при голосовании на внеочередном общем собрании собственников помещений в </w:t>
      </w:r>
      <w:r>
        <w:rPr>
          <w:rFonts w:cs="Times New Roman" w:ascii="Times New Roman" w:hAnsi="Times New Roman"/>
          <w:b/>
          <w:sz w:val="21"/>
          <w:szCs w:val="21"/>
        </w:rPr>
        <w:t>многоквартирном доме, расположенном по адресу: Республика Крым, город Симферополь,                                     проспект Александра Суворова,15 корпус 10.</w:t>
      </w:r>
    </w:p>
    <w:p>
      <w:pPr>
        <w:pStyle w:val="Normal"/>
        <w:spacing w:before="120" w:after="120"/>
        <w:rPr>
          <w:rFonts w:ascii="Times New Roman" w:hAnsi="Times New Roman"/>
          <w:sz w:val="21"/>
          <w:szCs w:val="21"/>
        </w:rPr>
      </w:pPr>
      <w:r>
        <w:rPr>
          <w:rFonts w:eastAsia="Calibri" w:cs="Times New Roman" w:ascii="Times New Roman" w:hAnsi="Times New Roman"/>
          <w:sz w:val="21"/>
          <w:szCs w:val="21"/>
          <w:lang w:bidi="ar-SA"/>
        </w:rPr>
        <w:t>г. Симферополь</w:t>
      </w:r>
      <w:r>
        <w:rPr>
          <w:rFonts w:cs="Times New Roman" w:ascii="Times New Roman" w:hAnsi="Times New Roman"/>
          <w:sz w:val="21"/>
          <w:szCs w:val="21"/>
        </w:rPr>
        <w:t xml:space="preserve">                      </w:t>
        <w:tab/>
        <w:tab/>
        <w:tab/>
        <w:tab/>
        <w:t xml:space="preserve">                       </w:t>
        <w:tab/>
        <w:t xml:space="preserve">          </w:t>
      </w:r>
      <w:r>
        <w:rPr>
          <w:rFonts w:eastAsia="Calibri" w:cs="Times New Roman" w:ascii="Times New Roman" w:hAnsi="Times New Roman"/>
          <w:sz w:val="21"/>
          <w:szCs w:val="21"/>
          <w:lang w:bidi="ar-SA"/>
        </w:rPr>
        <w:t>«____» __________________202_ г.</w:t>
      </w:r>
    </w:p>
    <w:p>
      <w:pPr>
        <w:pStyle w:val="Normal"/>
        <w:rPr>
          <w:rFonts w:ascii="Times New Roman" w:hAnsi="Times New Roman"/>
          <w:sz w:val="21"/>
          <w:szCs w:val="21"/>
        </w:rPr>
      </w:pPr>
      <w:r>
        <w:rPr>
          <w:rFonts w:cs="Times New Roman" w:ascii="Times New Roman" w:hAnsi="Times New Roman"/>
          <w:sz w:val="21"/>
          <w:szCs w:val="21"/>
        </w:rPr>
        <w:t xml:space="preserve">Форма проведения собрания – </w:t>
      </w:r>
      <w:r>
        <w:rPr>
          <w:rFonts w:cs="Times New Roman" w:ascii="Times New Roman" w:hAnsi="Times New Roman"/>
          <w:b/>
          <w:bCs/>
          <w:iCs/>
          <w:sz w:val="21"/>
          <w:szCs w:val="21"/>
        </w:rPr>
        <w:t>ОЧНО-</w:t>
      </w:r>
      <w:r>
        <w:rPr>
          <w:rFonts w:cs="Times New Roman" w:ascii="Times New Roman" w:hAnsi="Times New Roman"/>
          <w:b/>
          <w:iCs/>
          <w:sz w:val="21"/>
          <w:szCs w:val="21"/>
        </w:rPr>
        <w:t>ЗАОЧНОЕ ГОЛОСОВАНИЕ</w:t>
      </w:r>
      <w:r>
        <w:rPr>
          <w:rFonts w:cs="Times New Roman" w:ascii="Times New Roman" w:hAnsi="Times New Roman"/>
          <w:iCs/>
          <w:sz w:val="21"/>
          <w:szCs w:val="21"/>
        </w:rPr>
        <w:t>.</w:t>
      </w:r>
      <w:r>
        <w:rPr>
          <w:rFonts w:cs="Times New Roman" w:ascii="Times New Roman" w:hAnsi="Times New Roman"/>
          <w:sz w:val="21"/>
          <w:szCs w:val="21"/>
        </w:rPr>
        <w:tab/>
        <w:tab/>
        <w:tab/>
      </w:r>
      <w:r>
        <w:rPr>
          <w:rFonts w:cs="Times New Roman" w:ascii="Times New Roman" w:hAnsi="Times New Roman"/>
          <w:iCs/>
          <w:sz w:val="21"/>
          <w:szCs w:val="21"/>
        </w:rPr>
        <w:t xml:space="preserve">                                   Участники общего собрания – собственники помещений в многоквартирном доме по адресу: Республика Крым, город Симферополь, </w:t>
      </w:r>
      <w:r>
        <w:rPr>
          <w:rFonts w:cs="Times New Roman" w:ascii="Times New Roman" w:hAnsi="Times New Roman"/>
          <w:b/>
          <w:iCs/>
          <w:sz w:val="21"/>
          <w:szCs w:val="21"/>
        </w:rPr>
        <w:t>проспект Александра Суворова,15 корпус 10.</w:t>
      </w:r>
      <w:r>
        <w:rPr>
          <w:rFonts w:cs="Times New Roman" w:ascii="Times New Roman" w:hAnsi="Times New Roman"/>
          <w:sz w:val="21"/>
          <w:szCs w:val="21"/>
        </w:rPr>
        <w:tab/>
        <w:tab/>
        <w:tab/>
        <w:tab/>
        <w:t xml:space="preserve">                                               </w:t>
      </w:r>
      <w:r>
        <w:rPr>
          <w:rFonts w:cs="Times New Roman" w:ascii="Times New Roman" w:hAnsi="Times New Roman"/>
          <w:iCs/>
          <w:sz w:val="21"/>
          <w:szCs w:val="21"/>
        </w:rPr>
        <w:t xml:space="preserve">Период проведения общего собрания – </w:t>
      </w:r>
      <w:r>
        <w:rPr>
          <w:rFonts w:cs="Times New Roman" w:ascii="Times New Roman" w:hAnsi="Times New Roman"/>
          <w:b/>
          <w:bCs/>
          <w:iCs/>
          <w:sz w:val="21"/>
          <w:szCs w:val="21"/>
        </w:rPr>
        <w:t xml:space="preserve"> </w:t>
      </w:r>
      <w:r>
        <w:rPr>
          <w:rFonts w:cs="Times New Roman" w:ascii="Times New Roman" w:hAnsi="Times New Roman"/>
          <w:b/>
          <w:bCs/>
          <w:iCs/>
          <w:color w:val="000000"/>
          <w:sz w:val="21"/>
          <w:szCs w:val="21"/>
          <w:u w:val="single"/>
        </w:rPr>
        <w:t xml:space="preserve">с 26 декабря  2024года по 31 марта 2025 </w:t>
      </w:r>
      <w:r>
        <w:rPr>
          <w:rFonts w:eastAsia="Times New Roman" w:cs="Times New Roman" w:ascii="Times New Roman" w:hAnsi="Times New Roman"/>
          <w:b/>
          <w:bCs/>
          <w:iCs/>
          <w:color w:val="000000"/>
          <w:sz w:val="21"/>
          <w:szCs w:val="21"/>
          <w:u w:val="single"/>
        </w:rPr>
        <w:t>года</w:t>
      </w:r>
      <w:r>
        <w:rPr>
          <w:rFonts w:cs="Times New Roman" w:ascii="Times New Roman" w:hAnsi="Times New Roman"/>
          <w:b/>
          <w:bCs/>
          <w:iCs/>
          <w:color w:val="000000"/>
          <w:sz w:val="21"/>
          <w:szCs w:val="21"/>
          <w:u w:val="single"/>
        </w:rPr>
        <w:t xml:space="preserve"> до 24.0</w:t>
      </w:r>
      <w:r>
        <w:rPr>
          <w:rFonts w:cs="Times New Roman" w:ascii="Times New Roman" w:hAnsi="Times New Roman"/>
          <w:b/>
          <w:bCs/>
          <w:iCs/>
          <w:color w:val="000000"/>
          <w:sz w:val="21"/>
          <w:szCs w:val="21"/>
        </w:rPr>
        <w:t xml:space="preserve">0   </w:t>
        <w:tab/>
        <w:t xml:space="preserve">               </w:t>
      </w:r>
      <w:r>
        <w:rPr>
          <w:rFonts w:cs="Times New Roman" w:ascii="Times New Roman" w:hAnsi="Times New Roman"/>
          <w:b/>
          <w:iCs/>
          <w:sz w:val="21"/>
          <w:szCs w:val="21"/>
        </w:rPr>
        <w:t>Сведения о собственнике (представителе собственника по доверенности) помещения:</w:t>
      </w:r>
      <w:r>
        <w:rPr>
          <w:rFonts w:cs="Times New Roman" w:ascii="Times New Roman" w:hAnsi="Times New Roman"/>
          <w:sz w:val="21"/>
          <w:szCs w:val="21"/>
        </w:rPr>
        <w:tab/>
      </w:r>
      <w:r>
        <w:rPr>
          <w:rFonts w:cs="Times New Roman" w:ascii="Times New Roman" w:hAnsi="Times New Roman"/>
          <w:b/>
          <w:bCs/>
          <w:iCs/>
          <w:sz w:val="21"/>
          <w:szCs w:val="21"/>
        </w:rPr>
        <w:t xml:space="preserve">       </w:t>
      </w:r>
      <w:r>
        <w:rPr>
          <w:rFonts w:cs="Times New Roman" w:ascii="Times New Roman" w:hAnsi="Times New Roman"/>
          <w:sz w:val="21"/>
          <w:szCs w:val="21"/>
        </w:rPr>
        <w:tab/>
        <w:tab/>
      </w:r>
      <w:r>
        <w:rPr>
          <w:rFonts w:cs="Times New Roman" w:ascii="Times New Roman" w:hAnsi="Times New Roman"/>
          <w:b/>
          <w:bCs/>
          <w:iCs/>
          <w:sz w:val="21"/>
          <w:szCs w:val="21"/>
        </w:rPr>
        <w:t xml:space="preserve">             </w:t>
      </w:r>
    </w:p>
    <w:p>
      <w:pPr>
        <w:pStyle w:val="Normal"/>
        <w:rPr>
          <w:rFonts w:ascii="Times New Roman" w:hAnsi="Times New Roman" w:cs="Times New Roman"/>
          <w:sz w:val="22"/>
          <w:szCs w:val="22"/>
        </w:rPr>
      </w:pPr>
      <w:r>
        <w:rPr>
          <w:rFonts w:cs="Times New Roman" w:ascii="Times New Roman" w:hAnsi="Times New Roman"/>
          <w:b/>
          <w:bCs/>
          <w:iCs/>
          <w:sz w:val="21"/>
          <w:szCs w:val="21"/>
        </w:rPr>
        <w:t>Ф.И.</w:t>
      </w:r>
      <w:r>
        <w:rPr>
          <w:rFonts w:cs="Times New Roman" w:ascii="Times New Roman" w:hAnsi="Times New Roman"/>
          <w:bCs/>
          <w:iCs/>
          <w:sz w:val="21"/>
          <w:szCs w:val="21"/>
          <w:u w:val="single"/>
        </w:rPr>
        <w:t>О</w:t>
      </w:r>
      <w:r>
        <w:rPr>
          <w:rFonts w:cs="Times New Roman" w:ascii="Times New Roman" w:hAnsi="Times New Roman"/>
          <w:iCs/>
          <w:sz w:val="21"/>
          <w:szCs w:val="21"/>
          <w:u w:val="single"/>
        </w:rPr>
        <w:t>_______________________________________________________________________________________</w:t>
      </w:r>
      <w:r>
        <w:rPr>
          <w:rFonts w:cs="Times New Roman" w:ascii="Times New Roman" w:hAnsi="Times New Roman"/>
          <w:iCs/>
          <w:color w:val="000000"/>
          <w:sz w:val="21"/>
          <w:szCs w:val="21"/>
          <w:highlight w:val="white"/>
        </w:rPr>
        <w:t xml:space="preserve"> </w:t>
      </w:r>
    </w:p>
    <w:p>
      <w:pPr>
        <w:pStyle w:val="Normal"/>
        <w:rPr>
          <w:rFonts w:ascii="Times New Roman" w:hAnsi="Times New Roman" w:cs="Times New Roman"/>
          <w:b/>
          <w:b/>
          <w:color w:val="000000"/>
          <w:sz w:val="21"/>
          <w:szCs w:val="21"/>
          <w:highlight w:val="white"/>
        </w:rPr>
      </w:pPr>
      <w:r>
        <w:rPr>
          <w:rFonts w:cs="Times New Roman" w:ascii="Times New Roman" w:hAnsi="Times New Roman"/>
          <w:b/>
          <w:color w:val="000000"/>
          <w:sz w:val="21"/>
          <w:szCs w:val="21"/>
          <w:highlight w:val="white"/>
        </w:rPr>
      </w:r>
    </w:p>
    <w:p>
      <w:pPr>
        <w:pStyle w:val="Normal"/>
        <w:rPr>
          <w:rFonts w:ascii="Times New Roman" w:hAnsi="Times New Roman"/>
          <w:sz w:val="21"/>
          <w:szCs w:val="21"/>
        </w:rPr>
      </w:pPr>
      <w:r>
        <w:rPr>
          <w:rFonts w:cs="Times New Roman" w:ascii="Times New Roman" w:hAnsi="Times New Roman"/>
          <w:b/>
          <w:color w:val="000000"/>
          <w:sz w:val="21"/>
          <w:szCs w:val="21"/>
          <w:highlight w:val="white"/>
        </w:rPr>
        <w:t xml:space="preserve"> </w:t>
      </w:r>
      <w:r>
        <w:rPr>
          <w:rFonts w:cs="Times New Roman" w:ascii="Times New Roman" w:hAnsi="Times New Roman"/>
          <w:b/>
          <w:color w:val="000000"/>
          <w:sz w:val="21"/>
          <w:szCs w:val="21"/>
          <w:highlight w:val="white"/>
        </w:rPr>
        <w:t xml:space="preserve">Серия, №, дата  выдачи документа, удостоверяющего личность, СНИЛС: </w:t>
      </w:r>
      <w:r>
        <w:rPr>
          <w:rFonts w:cs="Times New Roman" w:ascii="Times New Roman" w:hAnsi="Times New Roman"/>
          <w:i/>
          <w:color w:val="000000"/>
          <w:sz w:val="21"/>
          <w:szCs w:val="21"/>
          <w:highlight w:val="white"/>
        </w:rPr>
        <w:t>_____________________________</w:t>
      </w:r>
    </w:p>
    <w:p>
      <w:pPr>
        <w:pStyle w:val="Normal"/>
        <w:rPr>
          <w:rFonts w:ascii="Times New Roman" w:hAnsi="Times New Roman"/>
          <w:sz w:val="21"/>
          <w:szCs w:val="21"/>
        </w:rPr>
      </w:pPr>
      <w:r>
        <w:rPr>
          <w:rFonts w:cs="Times New Roman" w:ascii="Times New Roman" w:hAnsi="Times New Roman"/>
          <w:i/>
          <w:color w:val="000000"/>
          <w:sz w:val="21"/>
          <w:szCs w:val="21"/>
          <w:highlight w:val="white"/>
        </w:rPr>
        <w:t>________________________________________________________________________________________________</w:t>
      </w:r>
    </w:p>
    <w:p>
      <w:pPr>
        <w:pStyle w:val="Normal"/>
        <w:jc w:val="both"/>
        <w:rPr>
          <w:rFonts w:ascii="Times New Roman" w:hAnsi="Times New Roman"/>
          <w:sz w:val="21"/>
          <w:szCs w:val="21"/>
        </w:rPr>
      </w:pPr>
      <w:r>
        <w:rPr>
          <w:rFonts w:cs="Times New Roman" w:ascii="Times New Roman" w:hAnsi="Times New Roman"/>
          <w:b/>
          <w:sz w:val="21"/>
          <w:szCs w:val="21"/>
        </w:rPr>
        <w:t>Сведения о помещении:</w:t>
      </w:r>
      <w:r>
        <w:rPr>
          <w:rFonts w:cs="Times New Roman" w:ascii="Times New Roman" w:hAnsi="Times New Roman"/>
          <w:sz w:val="21"/>
          <w:szCs w:val="21"/>
        </w:rPr>
        <w:t xml:space="preserve"> (в таблице необходимо подчеркнуть нужный вариант либо заполнить недостающие сведения)</w:t>
      </w:r>
    </w:p>
    <w:tbl>
      <w:tblPr>
        <w:tblW w:w="10320" w:type="dxa"/>
        <w:jc w:val="left"/>
        <w:tblInd w:w="83" w:type="dxa"/>
        <w:tblCellMar>
          <w:top w:w="0" w:type="dxa"/>
          <w:left w:w="83" w:type="dxa"/>
          <w:bottom w:w="0" w:type="dxa"/>
          <w:right w:w="108" w:type="dxa"/>
        </w:tblCellMar>
        <w:tblLook w:firstRow="1" w:noVBand="1" w:lastRow="0" w:firstColumn="1" w:lastColumn="0" w:noHBand="0" w:val="04a0"/>
      </w:tblPr>
      <w:tblGrid>
        <w:gridCol w:w="1621"/>
        <w:gridCol w:w="1357"/>
        <w:gridCol w:w="1295"/>
        <w:gridCol w:w="1521"/>
        <w:gridCol w:w="4526"/>
      </w:tblGrid>
      <w:tr>
        <w:trPr>
          <w:trHeight w:val="1277" w:hRule="atLeast"/>
        </w:trPr>
        <w:tc>
          <w:tcPr>
            <w:tcW w:w="1621" w:type="dxa"/>
            <w:tcBorders>
              <w:top w:val="single" w:sz="4" w:space="0" w:color="000001"/>
              <w:left w:val="single" w:sz="4" w:space="0" w:color="000001"/>
              <w:bottom w:val="single" w:sz="4" w:space="0" w:color="000001"/>
            </w:tcBorders>
            <w:shd w:color="auto" w:fill="FFFFFF" w:val="clear"/>
            <w:vAlign w:val="center"/>
          </w:tcPr>
          <w:p>
            <w:pPr>
              <w:pStyle w:val="Normal"/>
              <w:jc w:val="center"/>
              <w:rPr>
                <w:rFonts w:ascii="Times New Roman" w:hAnsi="Times New Roman" w:eastAsia="Calibri" w:cs="Times New Roman"/>
                <w:b/>
                <w:b/>
                <w:bCs/>
                <w:sz w:val="22"/>
                <w:szCs w:val="22"/>
                <w:lang w:bidi="ar-SA"/>
              </w:rPr>
            </w:pPr>
            <w:r>
              <w:rPr>
                <w:rFonts w:eastAsia="Calibri" w:cs="Times New Roman" w:ascii="Times New Roman" w:hAnsi="Times New Roman"/>
                <w:b/>
                <w:bCs/>
                <w:sz w:val="21"/>
                <w:szCs w:val="21"/>
                <w:lang w:bidi="ar-SA"/>
              </w:rPr>
              <w:t>Вид помещения (подчеркнуть)</w:t>
            </w:r>
          </w:p>
        </w:tc>
        <w:tc>
          <w:tcPr>
            <w:tcW w:w="1357" w:type="dxa"/>
            <w:tcBorders>
              <w:top w:val="single" w:sz="4" w:space="0" w:color="000001"/>
              <w:left w:val="single" w:sz="4" w:space="0" w:color="000001"/>
              <w:bottom w:val="single" w:sz="4" w:space="0" w:color="000001"/>
            </w:tcBorders>
            <w:shd w:color="auto" w:fill="FFFFFF" w:val="clear"/>
            <w:vAlign w:val="center"/>
          </w:tcPr>
          <w:p>
            <w:pPr>
              <w:pStyle w:val="Normal"/>
              <w:rPr>
                <w:rFonts w:ascii="Times New Roman" w:hAnsi="Times New Roman" w:cs="Times New Roman"/>
                <w:b/>
                <w:b/>
                <w:bCs/>
                <w:iCs/>
                <w:sz w:val="22"/>
                <w:szCs w:val="22"/>
              </w:rPr>
            </w:pPr>
            <w:r>
              <w:rPr>
                <w:rFonts w:cs="Times New Roman" w:ascii="Times New Roman" w:hAnsi="Times New Roman"/>
                <w:b/>
                <w:bCs/>
                <w:iCs/>
                <w:sz w:val="21"/>
                <w:szCs w:val="21"/>
              </w:rPr>
              <w:t xml:space="preserve">№ </w:t>
            </w:r>
            <w:r>
              <w:rPr>
                <w:rFonts w:cs="Times New Roman" w:ascii="Times New Roman" w:hAnsi="Times New Roman"/>
                <w:b/>
                <w:bCs/>
                <w:iCs/>
                <w:sz w:val="21"/>
                <w:szCs w:val="21"/>
              </w:rPr>
              <w:t>помещения (квартиры)</w:t>
            </w:r>
          </w:p>
        </w:tc>
        <w:tc>
          <w:tcPr>
            <w:tcW w:w="1295" w:type="dxa"/>
            <w:tcBorders>
              <w:top w:val="single" w:sz="4" w:space="0" w:color="000001"/>
              <w:left w:val="single" w:sz="4" w:space="0" w:color="000001"/>
              <w:bottom w:val="single" w:sz="4" w:space="0" w:color="000001"/>
            </w:tcBorders>
            <w:shd w:color="auto" w:fill="FFFFFF" w:val="clear"/>
            <w:vAlign w:val="center"/>
          </w:tcPr>
          <w:p>
            <w:pPr>
              <w:pStyle w:val="Normal"/>
              <w:rPr>
                <w:rFonts w:ascii="Times New Roman" w:hAnsi="Times New Roman" w:eastAsia="Calibri" w:cs="Times New Roman"/>
                <w:b/>
                <w:b/>
                <w:bCs/>
                <w:sz w:val="22"/>
                <w:szCs w:val="22"/>
                <w:lang w:bidi="ar-SA"/>
              </w:rPr>
            </w:pPr>
            <w:r>
              <w:rPr>
                <w:rFonts w:eastAsia="Calibri" w:cs="Times New Roman" w:ascii="Times New Roman" w:hAnsi="Times New Roman"/>
                <w:b/>
                <w:bCs/>
                <w:sz w:val="21"/>
                <w:szCs w:val="21"/>
                <w:lang w:bidi="ar-SA"/>
              </w:rPr>
              <w:t>Площадь помещения</w:t>
            </w:r>
          </w:p>
        </w:tc>
        <w:tc>
          <w:tcPr>
            <w:tcW w:w="1521" w:type="dxa"/>
            <w:tcBorders>
              <w:top w:val="single" w:sz="4" w:space="0" w:color="000001"/>
              <w:left w:val="single" w:sz="4" w:space="0" w:color="000001"/>
              <w:bottom w:val="single" w:sz="4" w:space="0" w:color="000001"/>
            </w:tcBorders>
            <w:shd w:color="auto" w:fill="FFFFFF" w:val="clear"/>
            <w:vAlign w:val="center"/>
          </w:tcPr>
          <w:p>
            <w:pPr>
              <w:pStyle w:val="Normal"/>
              <w:rPr>
                <w:rFonts w:ascii="Times New Roman" w:hAnsi="Times New Roman" w:cs="Times New Roman"/>
                <w:sz w:val="22"/>
                <w:szCs w:val="22"/>
              </w:rPr>
            </w:pPr>
            <w:r>
              <w:rPr>
                <w:rFonts w:cs="Times New Roman" w:ascii="Times New Roman" w:hAnsi="Times New Roman"/>
                <w:b/>
                <w:bCs/>
                <w:iCs/>
                <w:sz w:val="21"/>
                <w:szCs w:val="21"/>
              </w:rPr>
              <w:t>Доля собственника помещения  в %</w:t>
            </w:r>
            <w:r>
              <w:rPr>
                <w:rFonts w:cs="Times New Roman" w:ascii="Times New Roman" w:hAnsi="Times New Roman"/>
                <w:b/>
                <w:iCs/>
                <w:color w:val="000000"/>
                <w:sz w:val="21"/>
                <w:szCs w:val="21"/>
                <w:highlight w:val="white"/>
              </w:rPr>
              <w:t xml:space="preserve"> </w:t>
            </w:r>
          </w:p>
        </w:tc>
        <w:tc>
          <w:tcPr>
            <w:tcW w:w="4526" w:type="dxa"/>
            <w:tcBorders>
              <w:top w:val="single" w:sz="4" w:space="0" w:color="000001"/>
              <w:left w:val="single" w:sz="4" w:space="0" w:color="000001"/>
              <w:bottom w:val="single" w:sz="4" w:space="0" w:color="000001"/>
              <w:right w:val="single" w:sz="4" w:space="0" w:color="000001"/>
            </w:tcBorders>
            <w:shd w:color="auto" w:fill="FFFFFF" w:val="clear"/>
          </w:tcPr>
          <w:p>
            <w:pPr>
              <w:pStyle w:val="Normal"/>
              <w:jc w:val="center"/>
              <w:rPr>
                <w:rFonts w:ascii="Times New Roman" w:hAnsi="Times New Roman" w:eastAsia="Calibri" w:cs="Times New Roman"/>
                <w:b/>
                <w:b/>
                <w:bCs/>
                <w:sz w:val="22"/>
                <w:szCs w:val="22"/>
                <w:lang w:bidi="ar-SA"/>
              </w:rPr>
            </w:pPr>
            <w:r>
              <w:rPr>
                <w:rFonts w:eastAsia="Calibri" w:cs="Times New Roman" w:ascii="Times New Roman" w:hAnsi="Times New Roman"/>
                <w:b/>
                <w:bCs/>
                <w:sz w:val="21"/>
                <w:szCs w:val="21"/>
                <w:lang w:bidi="ar-SA"/>
              </w:rPr>
              <w:t>Реквизиты документ подтверждающего правообладание помещения</w:t>
            </w:r>
          </w:p>
        </w:tc>
      </w:tr>
      <w:tr>
        <w:trPr>
          <w:trHeight w:val="658" w:hRule="atLeast"/>
        </w:trPr>
        <w:tc>
          <w:tcPr>
            <w:tcW w:w="1621" w:type="dxa"/>
            <w:tcBorders>
              <w:top w:val="single" w:sz="4" w:space="0" w:color="000001"/>
              <w:left w:val="single" w:sz="4" w:space="0" w:color="000001"/>
              <w:bottom w:val="single" w:sz="4" w:space="0" w:color="000001"/>
            </w:tcBorders>
            <w:shd w:color="auto" w:fill="FFFFFF" w:val="clear"/>
          </w:tcPr>
          <w:p>
            <w:pPr>
              <w:pStyle w:val="Normal"/>
              <w:jc w:val="both"/>
              <w:rPr>
                <w:rFonts w:ascii="Times New Roman" w:hAnsi="Times New Roman" w:eastAsia="Calibri" w:cs="Times New Roman"/>
                <w:sz w:val="22"/>
                <w:szCs w:val="22"/>
                <w:lang w:bidi="ar-SA"/>
              </w:rPr>
            </w:pPr>
            <w:r>
              <w:rPr>
                <w:rFonts w:eastAsia="Calibri" w:cs="Times New Roman" w:ascii="Times New Roman" w:hAnsi="Times New Roman"/>
                <w:sz w:val="21"/>
                <w:szCs w:val="21"/>
                <w:lang w:bidi="ar-SA"/>
              </w:rPr>
              <w:t>Жилое/нежилое</w:t>
            </w:r>
          </w:p>
        </w:tc>
        <w:tc>
          <w:tcPr>
            <w:tcW w:w="1357" w:type="dxa"/>
            <w:tcBorders>
              <w:top w:val="single" w:sz="4" w:space="0" w:color="000001"/>
              <w:left w:val="single" w:sz="4" w:space="0" w:color="000001"/>
              <w:bottom w:val="single" w:sz="4" w:space="0" w:color="000001"/>
            </w:tcBorders>
            <w:shd w:color="auto" w:fill="FFFFFF" w:val="clear"/>
          </w:tcPr>
          <w:p>
            <w:pPr>
              <w:pStyle w:val="Normal"/>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jc w:val="both"/>
              <w:rPr>
                <w:rFonts w:ascii="Times New Roman" w:hAnsi="Times New Roman" w:cs="Times New Roman"/>
                <w:color w:val="000000"/>
                <w:sz w:val="21"/>
                <w:szCs w:val="21"/>
              </w:rPr>
            </w:pPr>
            <w:r>
              <w:rPr>
                <w:rFonts w:cs="Times New Roman" w:ascii="Times New Roman" w:hAnsi="Times New Roman"/>
                <w:color w:val="000000"/>
                <w:sz w:val="21"/>
                <w:szCs w:val="21"/>
              </w:rPr>
            </w:r>
          </w:p>
        </w:tc>
        <w:tc>
          <w:tcPr>
            <w:tcW w:w="1295" w:type="dxa"/>
            <w:tcBorders>
              <w:top w:val="single" w:sz="4" w:space="0" w:color="000001"/>
              <w:left w:val="single" w:sz="4" w:space="0" w:color="000001"/>
              <w:bottom w:val="single" w:sz="4" w:space="0" w:color="000001"/>
            </w:tcBorders>
            <w:shd w:color="auto" w:fill="FFFFFF" w:val="clear"/>
          </w:tcPr>
          <w:p>
            <w:pPr>
              <w:pStyle w:val="Normal"/>
              <w:jc w:val="both"/>
              <w:rPr>
                <w:rFonts w:ascii="Times New Roman" w:hAnsi="Times New Roman" w:cs="Times New Roman"/>
                <w:color w:val="000000"/>
                <w:sz w:val="21"/>
                <w:szCs w:val="21"/>
              </w:rPr>
            </w:pPr>
            <w:r>
              <w:rPr>
                <w:rFonts w:cs="Times New Roman" w:ascii="Times New Roman" w:hAnsi="Times New Roman"/>
                <w:color w:val="000000"/>
                <w:sz w:val="21"/>
                <w:szCs w:val="21"/>
              </w:rPr>
            </w:r>
          </w:p>
        </w:tc>
        <w:tc>
          <w:tcPr>
            <w:tcW w:w="1521" w:type="dxa"/>
            <w:tcBorders>
              <w:top w:val="single" w:sz="4" w:space="0" w:color="000001"/>
              <w:left w:val="single" w:sz="4" w:space="0" w:color="000001"/>
              <w:bottom w:val="single" w:sz="4" w:space="0" w:color="000001"/>
            </w:tcBorders>
            <w:shd w:color="auto" w:fill="FFFFFF" w:val="clear"/>
          </w:tcPr>
          <w:p>
            <w:pPr>
              <w:pStyle w:val="Normal"/>
              <w:jc w:val="both"/>
              <w:rPr>
                <w:rFonts w:ascii="Times New Roman" w:hAnsi="Times New Roman" w:cs="Times New Roman"/>
                <w:sz w:val="21"/>
                <w:szCs w:val="21"/>
              </w:rPr>
            </w:pPr>
            <w:r>
              <w:rPr>
                <w:rFonts w:cs="Times New Roman" w:ascii="Times New Roman" w:hAnsi="Times New Roman"/>
                <w:sz w:val="21"/>
                <w:szCs w:val="21"/>
              </w:rPr>
            </w:r>
          </w:p>
        </w:tc>
        <w:tc>
          <w:tcPr>
            <w:tcW w:w="4526" w:type="dxa"/>
            <w:tcBorders>
              <w:top w:val="single" w:sz="4" w:space="0" w:color="000001"/>
              <w:left w:val="single" w:sz="4" w:space="0" w:color="000001"/>
              <w:bottom w:val="single" w:sz="4" w:space="0" w:color="000001"/>
              <w:right w:val="single" w:sz="4" w:space="0" w:color="000001"/>
            </w:tcBorders>
            <w:shd w:color="auto" w:fill="FFFFFF" w:val="clear"/>
          </w:tcPr>
          <w:p>
            <w:pPr>
              <w:pStyle w:val="Normal"/>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jc w:val="both"/>
              <w:rPr>
                <w:rFonts w:ascii="Times New Roman" w:hAnsi="Times New Roman" w:cs="Times New Roman"/>
                <w:color w:val="000000"/>
                <w:sz w:val="21"/>
                <w:szCs w:val="21"/>
              </w:rPr>
            </w:pPr>
            <w:r>
              <w:rPr>
                <w:rFonts w:cs="Times New Roman" w:ascii="Times New Roman" w:hAnsi="Times New Roman"/>
                <w:color w:val="000000"/>
                <w:sz w:val="21"/>
                <w:szCs w:val="21"/>
              </w:rPr>
            </w:r>
          </w:p>
        </w:tc>
      </w:tr>
    </w:tbl>
    <w:p>
      <w:pPr>
        <w:pStyle w:val="Normal"/>
        <w:spacing w:before="120" w:after="0"/>
        <w:jc w:val="both"/>
        <w:rPr>
          <w:rFonts w:ascii="Times New Roman" w:hAnsi="Times New Roman"/>
          <w:sz w:val="21"/>
          <w:szCs w:val="21"/>
        </w:rPr>
      </w:pPr>
      <w:r>
        <w:rPr>
          <w:rFonts w:eastAsia="Calibri" w:cs="Times New Roman" w:ascii="Times New Roman" w:hAnsi="Times New Roman"/>
          <w:b/>
          <w:color w:val="000000"/>
          <w:sz w:val="21"/>
          <w:szCs w:val="21"/>
          <w:lang w:bidi="ar-SA"/>
        </w:rPr>
        <w:t>Будьте внимательны при заполнении бланка решения! При обнаружении зачеркиваний и исправлений, решение по вопросу будет признано недействительным!</w:t>
      </w:r>
      <w:r>
        <w:rPr>
          <w:rFonts w:cs="Times New Roman" w:ascii="Times New Roman" w:hAnsi="Times New Roman"/>
          <w:b/>
          <w:color w:val="000000"/>
          <w:sz w:val="21"/>
          <w:szCs w:val="21"/>
        </w:rPr>
        <w:tab/>
        <w:tab/>
        <w:tab/>
        <w:tab/>
      </w:r>
    </w:p>
    <w:tbl>
      <w:tblPr>
        <w:tblW w:w="10725" w:type="dxa"/>
        <w:jc w:val="left"/>
        <w:tblInd w:w="-228" w:type="dxa"/>
        <w:tblCellMar>
          <w:top w:w="55" w:type="dxa"/>
          <w:left w:w="42" w:type="dxa"/>
          <w:bottom w:w="55" w:type="dxa"/>
          <w:right w:w="55" w:type="dxa"/>
        </w:tblCellMar>
        <w:tblLook w:firstRow="1" w:noVBand="1" w:lastRow="0" w:firstColumn="1" w:lastColumn="0" w:noHBand="0" w:val="04a0"/>
      </w:tblPr>
      <w:tblGrid>
        <w:gridCol w:w="506"/>
        <w:gridCol w:w="7872"/>
        <w:gridCol w:w="750"/>
        <w:gridCol w:w="776"/>
        <w:gridCol w:w="821"/>
      </w:tblGrid>
      <w:tr>
        <w:trPr>
          <w:trHeight w:val="795" w:hRule="exact"/>
        </w:trPr>
        <w:tc>
          <w:tcPr>
            <w:tcW w:w="506" w:type="dxa"/>
            <w:tcBorders>
              <w:top w:val="single" w:sz="2" w:space="0" w:color="000001"/>
              <w:left w:val="single" w:sz="2" w:space="0" w:color="000001"/>
              <w:bottom w:val="single" w:sz="2" w:space="0" w:color="000001"/>
            </w:tcBorders>
            <w:shd w:color="auto" w:fill="FFFFFF" w:val="clear"/>
          </w:tcPr>
          <w:p>
            <w:pPr>
              <w:pStyle w:val="Normal"/>
              <w:rPr>
                <w:rFonts w:ascii="Times New Roman" w:hAnsi="Times New Roman" w:cs="Times New Roman"/>
                <w:b/>
                <w:b/>
                <w:sz w:val="22"/>
                <w:szCs w:val="22"/>
              </w:rPr>
            </w:pPr>
            <w:r>
              <w:rPr>
                <w:rFonts w:cs="Times New Roman" w:ascii="Times New Roman" w:hAnsi="Times New Roman"/>
                <w:b/>
                <w:sz w:val="21"/>
                <w:szCs w:val="21"/>
              </w:rPr>
              <w:t xml:space="preserve">№             </w:t>
            </w:r>
            <w:r>
              <w:rPr>
                <w:rFonts w:cs="Times New Roman" w:ascii="Times New Roman" w:hAnsi="Times New Roman"/>
                <w:b/>
                <w:sz w:val="21"/>
                <w:szCs w:val="21"/>
              </w:rPr>
              <w:t>п/п</w:t>
            </w:r>
          </w:p>
        </w:tc>
        <w:tc>
          <w:tcPr>
            <w:tcW w:w="7872" w:type="dxa"/>
            <w:tcBorders>
              <w:top w:val="single" w:sz="2" w:space="0" w:color="000001"/>
              <w:left w:val="single" w:sz="2" w:space="0" w:color="000001"/>
              <w:bottom w:val="single" w:sz="2" w:space="0" w:color="000001"/>
            </w:tcBorders>
            <w:shd w:color="auto" w:fill="FFFFFF" w:val="clear"/>
          </w:tcPr>
          <w:p>
            <w:pPr>
              <w:pStyle w:val="Normal"/>
              <w:jc w:val="center"/>
              <w:rPr>
                <w:rFonts w:ascii="Times New Roman" w:hAnsi="Times New Roman" w:eastAsia="Calibri" w:cs="Times New Roman"/>
                <w:b/>
                <w:b/>
                <w:sz w:val="22"/>
                <w:szCs w:val="22"/>
                <w:lang w:bidi="ar-SA"/>
              </w:rPr>
            </w:pPr>
            <w:r>
              <w:rPr>
                <w:rFonts w:eastAsia="Calibri" w:cs="Times New Roman" w:ascii="Times New Roman" w:hAnsi="Times New Roman"/>
                <w:b/>
                <w:sz w:val="21"/>
                <w:szCs w:val="21"/>
                <w:lang w:bidi="ar-SA"/>
              </w:rPr>
              <w:t>Решение по вопросам, поставленному на голосование</w:t>
            </w:r>
          </w:p>
        </w:tc>
        <w:tc>
          <w:tcPr>
            <w:tcW w:w="750" w:type="dxa"/>
            <w:tcBorders>
              <w:top w:val="single" w:sz="2" w:space="0" w:color="000001"/>
              <w:left w:val="single" w:sz="2" w:space="0" w:color="000001"/>
              <w:bottom w:val="single" w:sz="2" w:space="0" w:color="000001"/>
            </w:tcBorders>
            <w:shd w:color="auto" w:fill="FFFFFF" w:val="clear"/>
          </w:tcPr>
          <w:p>
            <w:pPr>
              <w:pStyle w:val="Normal"/>
              <w:jc w:val="center"/>
              <w:rPr>
                <w:rFonts w:ascii="Times New Roman" w:hAnsi="Times New Roman" w:eastAsia="Calibri" w:cs="Times New Roman"/>
                <w:b/>
                <w:b/>
                <w:sz w:val="22"/>
                <w:szCs w:val="22"/>
                <w:lang w:bidi="ar-SA"/>
              </w:rPr>
            </w:pPr>
            <w:r>
              <w:rPr>
                <w:rFonts w:eastAsia="Calibri" w:cs="Times New Roman" w:ascii="Times New Roman" w:hAnsi="Times New Roman"/>
                <w:b/>
                <w:sz w:val="21"/>
                <w:szCs w:val="21"/>
                <w:lang w:bidi="ar-SA"/>
              </w:rPr>
              <w:t>за</w:t>
            </w:r>
          </w:p>
        </w:tc>
        <w:tc>
          <w:tcPr>
            <w:tcW w:w="776" w:type="dxa"/>
            <w:tcBorders>
              <w:top w:val="single" w:sz="2" w:space="0" w:color="000001"/>
              <w:left w:val="single" w:sz="2" w:space="0" w:color="000001"/>
              <w:bottom w:val="single" w:sz="2" w:space="0" w:color="000001"/>
            </w:tcBorders>
            <w:shd w:color="auto" w:fill="FFFFFF" w:val="clear"/>
          </w:tcPr>
          <w:p>
            <w:pPr>
              <w:pStyle w:val="Normal"/>
              <w:rPr>
                <w:rFonts w:ascii="Times New Roman" w:hAnsi="Times New Roman" w:eastAsia="Calibri" w:cs="Times New Roman"/>
                <w:b/>
                <w:b/>
                <w:sz w:val="22"/>
                <w:szCs w:val="22"/>
                <w:lang w:bidi="ar-SA"/>
              </w:rPr>
            </w:pPr>
            <w:r>
              <w:rPr>
                <w:rFonts w:eastAsia="Calibri" w:cs="Times New Roman" w:ascii="Times New Roman" w:hAnsi="Times New Roman"/>
                <w:b/>
                <w:sz w:val="21"/>
                <w:szCs w:val="21"/>
                <w:lang w:bidi="ar-SA"/>
              </w:rPr>
              <w:t>против</w:t>
            </w:r>
          </w:p>
        </w:tc>
        <w:tc>
          <w:tcPr>
            <w:tcW w:w="821" w:type="dxa"/>
            <w:tcBorders>
              <w:top w:val="single" w:sz="2" w:space="0" w:color="000001"/>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sz w:val="22"/>
                <w:szCs w:val="22"/>
              </w:rPr>
            </w:pPr>
            <w:r>
              <w:rPr>
                <w:rFonts w:eastAsia="Calibri" w:cs="Times New Roman" w:ascii="Times New Roman" w:hAnsi="Times New Roman"/>
                <w:b/>
                <w:sz w:val="21"/>
                <w:szCs w:val="21"/>
                <w:lang w:bidi="ar-SA"/>
              </w:rPr>
              <w:t>Воздер      жался</w:t>
            </w:r>
          </w:p>
        </w:tc>
      </w:tr>
      <w:tr>
        <w:trPr>
          <w:trHeight w:val="390"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eastAsia="Calibri" w:cs="Times New Roman"/>
                <w:sz w:val="22"/>
                <w:szCs w:val="22"/>
                <w:lang w:bidi="ar-SA"/>
              </w:rPr>
            </w:pPr>
            <w:r>
              <w:rPr>
                <w:rFonts w:eastAsia="Calibri" w:cs="Times New Roman" w:ascii="Times New Roman" w:hAnsi="Times New Roman"/>
                <w:sz w:val="21"/>
                <w:szCs w:val="21"/>
                <w:lang w:bidi="ar-SA"/>
              </w:rPr>
              <w:t>1</w:t>
            </w:r>
          </w:p>
        </w:tc>
        <w:tc>
          <w:tcPr>
            <w:tcW w:w="7872" w:type="dxa"/>
            <w:tcBorders>
              <w:left w:val="single" w:sz="2" w:space="0" w:color="000001"/>
              <w:bottom w:val="single" w:sz="2" w:space="0" w:color="000001"/>
            </w:tcBorders>
            <w:shd w:color="auto" w:fill="FFFFFF" w:val="clear"/>
          </w:tcPr>
          <w:p>
            <w:pPr>
              <w:pStyle w:val="Normal"/>
              <w:tabs>
                <w:tab w:val="clear" w:pos="709"/>
                <w:tab w:val="left" w:pos="0" w:leader="none"/>
              </w:tabs>
              <w:ind w:right="57" w:hanging="0"/>
              <w:rPr/>
            </w:pPr>
            <w:r>
              <w:rPr>
                <w:rFonts w:cs="Times New Roman" w:ascii="Times New Roman" w:hAnsi="Times New Roman"/>
                <w:color w:val="000000"/>
                <w:sz w:val="21"/>
                <w:szCs w:val="21"/>
              </w:rPr>
              <w:t>Выбор председателя собрания —</w:t>
            </w:r>
            <w:r>
              <w:rPr>
                <w:rFonts w:cs="Times New Roman" w:ascii="Times New Roman" w:hAnsi="Times New Roman"/>
                <w:b w:val="false"/>
                <w:i w:val="false"/>
                <w:caps w:val="false"/>
                <w:smallCaps w:val="false"/>
                <w:color w:val="000000"/>
                <w:spacing w:val="0"/>
                <w:sz w:val="21"/>
                <w:szCs w:val="21"/>
                <w:highlight w:val="white"/>
              </w:rPr>
              <w:t xml:space="preserve">Макаридина Елена Васильевна </w:t>
            </w:r>
            <w:r>
              <w:rPr>
                <w:rFonts w:eastAsia="Times New Roman" w:cs="Times New Roman" w:ascii="Times New Roman" w:hAnsi="Times New Roman"/>
                <w:b w:val="false"/>
                <w:i w:val="false"/>
                <w:caps w:val="false"/>
                <w:smallCaps w:val="false"/>
                <w:color w:val="000000"/>
                <w:spacing w:val="0"/>
                <w:sz w:val="21"/>
                <w:szCs w:val="21"/>
                <w:highlight w:val="white"/>
              </w:rPr>
              <w:t>(квартира №32)</w:t>
            </w:r>
          </w:p>
          <w:p>
            <w:pPr>
              <w:pStyle w:val="Normal"/>
              <w:ind w:left="0" w:right="0" w:hanging="0"/>
              <w:rPr>
                <w:b w:val="false"/>
                <w:b w:val="false"/>
                <w:i w:val="false"/>
                <w:i w:val="false"/>
                <w:caps w:val="false"/>
                <w:smallCaps w:val="false"/>
                <w:color w:val="000000"/>
                <w:spacing w:val="0"/>
                <w:highlight w:val="white"/>
              </w:rPr>
            </w:pPr>
            <w:r>
              <w:rPr>
                <w:b w:val="false"/>
                <w:i w:val="false"/>
                <w:caps w:val="false"/>
                <w:smallCaps w:val="false"/>
                <w:color w:val="000000"/>
                <w:spacing w:val="0"/>
                <w:highlight w:val="white"/>
              </w:rPr>
            </w:r>
          </w:p>
          <w:p>
            <w:pPr>
              <w:pStyle w:val="Normal"/>
              <w:tabs>
                <w:tab w:val="clear" w:pos="709"/>
                <w:tab w:val="left" w:pos="0" w:leader="none"/>
              </w:tabs>
              <w:ind w:right="57" w:hanging="0"/>
              <w:jc w:val="both"/>
              <w:rPr>
                <w:rFonts w:ascii="Times New Roman" w:hAnsi="Times New Roman" w:cs="Times New Roman"/>
                <w:sz w:val="21"/>
                <w:szCs w:val="21"/>
              </w:rPr>
            </w:pPr>
            <w:r>
              <w:rPr>
                <w:rFonts w:cs="Times New Roman" w:ascii="Times New Roman" w:hAnsi="Times New Roman"/>
                <w:sz w:val="21"/>
                <w:szCs w:val="21"/>
              </w:rPr>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525"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eastAsia="Calibri" w:cs="Times New Roman"/>
                <w:sz w:val="22"/>
                <w:szCs w:val="22"/>
                <w:lang w:bidi="ar-SA"/>
              </w:rPr>
            </w:pPr>
            <w:r>
              <w:rPr>
                <w:rFonts w:eastAsia="Calibri" w:cs="Times New Roman" w:ascii="Times New Roman" w:hAnsi="Times New Roman"/>
                <w:sz w:val="21"/>
                <w:szCs w:val="21"/>
                <w:lang w:bidi="ar-SA"/>
              </w:rPr>
              <w:t>2</w:t>
            </w:r>
          </w:p>
        </w:tc>
        <w:tc>
          <w:tcPr>
            <w:tcW w:w="7872" w:type="dxa"/>
            <w:tcBorders>
              <w:left w:val="single" w:sz="2" w:space="0" w:color="000001"/>
              <w:bottom w:val="single" w:sz="2" w:space="0" w:color="000001"/>
            </w:tcBorders>
            <w:shd w:color="auto" w:fill="FFFFFF" w:val="clear"/>
          </w:tcPr>
          <w:p>
            <w:pPr>
              <w:pStyle w:val="Normal"/>
              <w:tabs>
                <w:tab w:val="clear" w:pos="709"/>
                <w:tab w:val="left" w:pos="0" w:leader="none"/>
              </w:tabs>
              <w:ind w:right="57" w:hanging="0"/>
              <w:rPr>
                <w:rFonts w:ascii="Times New Roman" w:hAnsi="Times New Roman"/>
                <w:sz w:val="21"/>
                <w:szCs w:val="21"/>
              </w:rPr>
            </w:pPr>
            <w:r>
              <w:rPr>
                <w:rFonts w:cs="Times New Roman" w:ascii="Times New Roman" w:hAnsi="Times New Roman"/>
                <w:color w:val="000000"/>
                <w:sz w:val="21"/>
                <w:szCs w:val="21"/>
              </w:rPr>
              <w:t xml:space="preserve">Выбор секретаря собрания- </w:t>
            </w:r>
            <w:r>
              <w:rPr>
                <w:rFonts w:cs="Times New Roman" w:ascii="Times New Roman" w:hAnsi="Times New Roman"/>
                <w:b w:val="false"/>
                <w:i w:val="false"/>
                <w:caps w:val="false"/>
                <w:smallCaps w:val="false"/>
                <w:color w:val="000000"/>
                <w:spacing w:val="0"/>
                <w:sz w:val="21"/>
                <w:szCs w:val="21"/>
                <w:highlight w:val="white"/>
              </w:rPr>
              <w:t>Дяков Анатолий Анатольевич (квартира № 19)</w:t>
            </w:r>
            <w:r>
              <w:rPr>
                <w:rFonts w:cs="Times New Roman" w:ascii="Times New Roman" w:hAnsi="Times New Roman"/>
                <w:color w:val="000000"/>
                <w:sz w:val="21"/>
                <w:szCs w:val="21"/>
              </w:rPr>
              <w:t xml:space="preserve">                                                         </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960"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sz w:val="21"/>
                <w:szCs w:val="21"/>
              </w:rPr>
            </w:pPr>
            <w:r>
              <w:rPr>
                <w:rFonts w:ascii="Times New Roman" w:hAnsi="Times New Roman"/>
                <w:sz w:val="21"/>
                <w:szCs w:val="21"/>
              </w:rPr>
              <w:t>3</w:t>
            </w:r>
          </w:p>
        </w:tc>
        <w:tc>
          <w:tcPr>
            <w:tcW w:w="7872" w:type="dxa"/>
            <w:tcBorders>
              <w:left w:val="single" w:sz="2" w:space="0" w:color="000001"/>
              <w:bottom w:val="single" w:sz="2" w:space="0" w:color="000001"/>
            </w:tcBorders>
            <w:shd w:color="auto" w:fill="FFFFFF" w:val="clear"/>
          </w:tcPr>
          <w:p>
            <w:pPr>
              <w:pStyle w:val="Normal"/>
              <w:tabs>
                <w:tab w:val="clear" w:pos="709"/>
                <w:tab w:val="left" w:pos="0" w:leader="none"/>
              </w:tabs>
              <w:ind w:right="57" w:hanging="0"/>
              <w:rPr/>
            </w:pPr>
            <w:r>
              <w:rPr>
                <w:rFonts w:eastAsia="Times New Roman" w:cs="Times New Roman" w:ascii="Times New Roman" w:hAnsi="Times New Roman"/>
                <w:color w:val="000000"/>
                <w:sz w:val="21"/>
                <w:szCs w:val="21"/>
                <w:lang w:bidi="ar-SA"/>
              </w:rPr>
              <w:t>Выбор счетной комиссии в составе:</w:t>
            </w:r>
          </w:p>
          <w:p>
            <w:pPr>
              <w:pStyle w:val="Normal"/>
              <w:tabs>
                <w:tab w:val="clear" w:pos="709"/>
                <w:tab w:val="left" w:pos="0" w:leader="none"/>
              </w:tabs>
              <w:ind w:right="57" w:hanging="0"/>
              <w:rPr/>
            </w:pPr>
            <w:r>
              <w:rPr>
                <w:rFonts w:eastAsia="Times New Roman" w:cs="Times New Roman" w:ascii="Times New Roman" w:hAnsi="Times New Roman"/>
                <w:color w:val="000000"/>
                <w:sz w:val="21"/>
                <w:szCs w:val="21"/>
                <w:lang w:bidi="ar-SA"/>
              </w:rPr>
              <w:t xml:space="preserve"> </w:t>
            </w:r>
            <w:r>
              <w:rPr>
                <w:rFonts w:eastAsia="Times New Roman" w:cs="Times New Roman" w:ascii="Times New Roman" w:hAnsi="Times New Roman"/>
                <w:color w:val="000000"/>
                <w:sz w:val="21"/>
                <w:szCs w:val="21"/>
                <w:lang w:bidi="ar-SA"/>
              </w:rPr>
              <w:t>Макаридиной Елены Васильевны (квартира №3</w:t>
            </w:r>
            <w:r>
              <w:rPr>
                <w:rFonts w:eastAsia="Times New Roman" w:cs="Times New Roman" w:ascii="Times New Roman" w:hAnsi="Times New Roman"/>
                <w:color w:val="000000"/>
                <w:sz w:val="21"/>
                <w:szCs w:val="21"/>
                <w:lang w:bidi="ar-SA"/>
              </w:rPr>
              <w:t>2)</w:t>
            </w:r>
          </w:p>
          <w:p>
            <w:pPr>
              <w:pStyle w:val="Normal"/>
              <w:tabs>
                <w:tab w:val="clear" w:pos="709"/>
                <w:tab w:val="left" w:pos="0" w:leader="none"/>
              </w:tabs>
              <w:spacing w:lineRule="auto" w:line="240"/>
              <w:ind w:right="57" w:hanging="0"/>
              <w:jc w:val="both"/>
              <w:rPr/>
            </w:pPr>
            <w:r>
              <w:rPr>
                <w:rFonts w:eastAsia="Times New Roman" w:cs="Times New Roman" w:ascii="Times New Roman" w:hAnsi="Times New Roman"/>
                <w:b w:val="false"/>
                <w:bCs w:val="false"/>
                <w:color w:val="000000"/>
                <w:sz w:val="21"/>
                <w:szCs w:val="21"/>
                <w:lang w:bidi="ar-SA"/>
              </w:rPr>
              <w:t>Дякова Анатолия Анатольевича (квартира №19)</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780"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sz w:val="21"/>
                <w:szCs w:val="21"/>
              </w:rPr>
            </w:pPr>
            <w:r>
              <w:rPr>
                <w:rFonts w:ascii="Times New Roman" w:hAnsi="Times New Roman"/>
                <w:sz w:val="21"/>
                <w:szCs w:val="21"/>
              </w:rPr>
              <w:t>4</w:t>
            </w:r>
          </w:p>
        </w:tc>
        <w:tc>
          <w:tcPr>
            <w:tcW w:w="7872" w:type="dxa"/>
            <w:tcBorders>
              <w:left w:val="single" w:sz="2" w:space="0" w:color="000001"/>
              <w:bottom w:val="single" w:sz="2" w:space="0" w:color="000001"/>
            </w:tcBorders>
            <w:shd w:color="auto" w:fill="FFFFFF" w:val="clear"/>
          </w:tcPr>
          <w:p>
            <w:pPr>
              <w:pStyle w:val="Normal"/>
              <w:tabs>
                <w:tab w:val="clear" w:pos="709"/>
                <w:tab w:val="left" w:pos="0" w:leader="none"/>
              </w:tabs>
              <w:spacing w:lineRule="auto" w:line="240"/>
              <w:ind w:right="57" w:hanging="0"/>
              <w:jc w:val="both"/>
              <w:rPr/>
            </w:pPr>
            <w:r>
              <w:rPr>
                <w:rFonts w:eastAsia="Times New Roman" w:cs="Times New Roman" w:ascii="Times New Roman" w:hAnsi="Times New Roman"/>
                <w:sz w:val="21"/>
                <w:szCs w:val="21"/>
              </w:rPr>
              <w:t xml:space="preserve">Выбор нового Председателя совета дома -  </w:t>
            </w:r>
          </w:p>
          <w:p>
            <w:pPr>
              <w:pStyle w:val="Normal"/>
              <w:tabs>
                <w:tab w:val="clear" w:pos="709"/>
                <w:tab w:val="left" w:pos="0" w:leader="none"/>
              </w:tabs>
              <w:spacing w:lineRule="auto" w:line="240"/>
              <w:ind w:right="57" w:hanging="0"/>
              <w:jc w:val="both"/>
              <w:rPr/>
            </w:pPr>
            <w:r>
              <w:rPr>
                <w:rFonts w:eastAsia="Times New Roman" w:cs="Times New Roman" w:ascii="Times New Roman" w:hAnsi="Times New Roman"/>
                <w:sz w:val="21"/>
                <w:szCs w:val="21"/>
              </w:rPr>
              <w:t>Макаридин</w:t>
            </w:r>
            <w:r>
              <w:rPr>
                <w:rFonts w:eastAsia="Times New Roman" w:cs="Times New Roman" w:ascii="Times New Roman" w:hAnsi="Times New Roman"/>
                <w:sz w:val="21"/>
                <w:szCs w:val="21"/>
              </w:rPr>
              <w:t xml:space="preserve">а </w:t>
            </w:r>
            <w:r>
              <w:rPr>
                <w:rFonts w:eastAsia="Times New Roman" w:cs="Times New Roman" w:ascii="Times New Roman" w:hAnsi="Times New Roman"/>
                <w:sz w:val="21"/>
                <w:szCs w:val="21"/>
              </w:rPr>
              <w:t>Елен</w:t>
            </w:r>
            <w:r>
              <w:rPr>
                <w:rFonts w:eastAsia="Times New Roman" w:cs="Times New Roman" w:ascii="Times New Roman" w:hAnsi="Times New Roman"/>
                <w:sz w:val="21"/>
                <w:szCs w:val="21"/>
              </w:rPr>
              <w:t>а</w:t>
            </w:r>
            <w:r>
              <w:rPr>
                <w:rFonts w:eastAsia="Times New Roman" w:cs="Times New Roman" w:ascii="Times New Roman" w:hAnsi="Times New Roman"/>
                <w:sz w:val="21"/>
                <w:szCs w:val="21"/>
              </w:rPr>
              <w:t xml:space="preserve"> Васильевн</w:t>
            </w:r>
            <w:r>
              <w:rPr>
                <w:rFonts w:eastAsia="Times New Roman" w:cs="Times New Roman" w:ascii="Times New Roman" w:hAnsi="Times New Roman"/>
                <w:sz w:val="21"/>
                <w:szCs w:val="21"/>
              </w:rPr>
              <w:t>а</w:t>
            </w:r>
            <w:r>
              <w:rPr>
                <w:rFonts w:eastAsia="Times New Roman" w:cs="Times New Roman" w:ascii="Times New Roman" w:hAnsi="Times New Roman"/>
                <w:sz w:val="21"/>
                <w:szCs w:val="21"/>
              </w:rPr>
              <w:t xml:space="preserve"> </w:t>
            </w:r>
            <w:bookmarkStart w:id="0" w:name="__DdeLink__363_1393514818"/>
            <w:r>
              <w:rPr>
                <w:rFonts w:eastAsia="Times New Roman" w:cs="Times New Roman" w:ascii="Times New Roman" w:hAnsi="Times New Roman"/>
                <w:sz w:val="21"/>
                <w:szCs w:val="21"/>
              </w:rPr>
              <w:t>(квартира №32)</w:t>
            </w:r>
            <w:bookmarkEnd w:id="0"/>
            <w:r>
              <w:rPr>
                <w:rFonts w:eastAsia="Times New Roman" w:cs="Times New Roman" w:ascii="Times New Roman" w:hAnsi="Times New Roman"/>
                <w:sz w:val="21"/>
                <w:szCs w:val="21"/>
              </w:rPr>
              <w:t>.</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525"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sz w:val="21"/>
                <w:szCs w:val="21"/>
              </w:rPr>
            </w:pPr>
            <w:r>
              <w:rPr>
                <w:rFonts w:eastAsia="Calibri" w:cs="Times New Roman" w:ascii="Times New Roman" w:hAnsi="Times New Roman"/>
                <w:sz w:val="21"/>
                <w:szCs w:val="21"/>
                <w:lang w:bidi="ar-SA"/>
              </w:rPr>
              <w:t>5</w:t>
            </w:r>
          </w:p>
        </w:tc>
        <w:tc>
          <w:tcPr>
            <w:tcW w:w="7872" w:type="dxa"/>
            <w:tcBorders>
              <w:left w:val="single" w:sz="2" w:space="0" w:color="000001"/>
              <w:bottom w:val="single" w:sz="2" w:space="0" w:color="000001"/>
            </w:tcBorders>
            <w:shd w:color="auto" w:fill="FFFFFF" w:val="clear"/>
          </w:tcPr>
          <w:p>
            <w:pPr>
              <w:pStyle w:val="Normal"/>
              <w:tabs>
                <w:tab w:val="clear" w:pos="709"/>
                <w:tab w:val="left" w:pos="0" w:leader="none"/>
              </w:tabs>
              <w:spacing w:lineRule="auto" w:line="240"/>
              <w:ind w:right="57" w:hanging="0"/>
              <w:jc w:val="both"/>
              <w:rPr/>
            </w:pPr>
            <w:r>
              <w:rPr>
                <w:rFonts w:eastAsia="Times New Roman" w:cs="Times New Roman" w:ascii="Times New Roman" w:hAnsi="Times New Roman"/>
                <w:b w:val="false"/>
                <w:bCs w:val="false"/>
                <w:color w:val="000000"/>
                <w:sz w:val="21"/>
                <w:szCs w:val="21"/>
              </w:rPr>
              <w:t>Выбор нового члена Совета дома - Дяков Анатоли</w:t>
            </w:r>
            <w:r>
              <w:rPr>
                <w:rFonts w:eastAsia="Times New Roman" w:cs="Times New Roman" w:ascii="Times New Roman" w:hAnsi="Times New Roman"/>
                <w:b w:val="false"/>
                <w:bCs w:val="false"/>
                <w:color w:val="000000"/>
                <w:sz w:val="21"/>
                <w:szCs w:val="21"/>
              </w:rPr>
              <w:t>й</w:t>
            </w:r>
            <w:r>
              <w:rPr>
                <w:rFonts w:eastAsia="Times New Roman" w:cs="Times New Roman" w:ascii="Times New Roman" w:hAnsi="Times New Roman"/>
                <w:b w:val="false"/>
                <w:bCs w:val="false"/>
                <w:color w:val="000000"/>
                <w:sz w:val="21"/>
                <w:szCs w:val="21"/>
              </w:rPr>
              <w:t xml:space="preserve"> Анатольевич (квартира №19).</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915"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sz w:val="21"/>
                <w:szCs w:val="21"/>
              </w:rPr>
            </w:pPr>
            <w:r>
              <w:rPr>
                <w:rFonts w:eastAsia="Calibri" w:cs="Times New Roman" w:ascii="Times New Roman" w:hAnsi="Times New Roman"/>
                <w:b w:val="false"/>
                <w:bCs w:val="false"/>
                <w:sz w:val="21"/>
                <w:szCs w:val="21"/>
                <w:lang w:bidi="ar-SA"/>
              </w:rPr>
              <w:t>6</w:t>
            </w:r>
          </w:p>
        </w:tc>
        <w:tc>
          <w:tcPr>
            <w:tcW w:w="7872" w:type="dxa"/>
            <w:tcBorders>
              <w:left w:val="single" w:sz="2" w:space="0" w:color="000001"/>
              <w:bottom w:val="single" w:sz="2" w:space="0" w:color="000001"/>
            </w:tcBorders>
            <w:shd w:color="auto" w:fill="FFFFFF" w:val="clear"/>
          </w:tcPr>
          <w:p>
            <w:pPr>
              <w:pStyle w:val="Normal"/>
              <w:tabs>
                <w:tab w:val="clear" w:pos="709"/>
                <w:tab w:val="left" w:pos="0" w:leader="none"/>
              </w:tabs>
              <w:spacing w:lineRule="auto" w:line="240"/>
              <w:ind w:right="57" w:hanging="0"/>
              <w:jc w:val="both"/>
              <w:rPr>
                <w:rFonts w:ascii="Times New Roman" w:hAnsi="Times New Roman"/>
                <w:b w:val="false"/>
                <w:b w:val="false"/>
                <w:bCs w:val="false"/>
                <w:sz w:val="21"/>
                <w:szCs w:val="21"/>
                <w:u w:val="none"/>
              </w:rPr>
            </w:pPr>
            <w:r>
              <w:rPr>
                <w:rFonts w:eastAsia="Times New Roman" w:cs="Times New Roman" w:ascii="Times New Roman" w:hAnsi="Times New Roman"/>
                <w:b w:val="false"/>
                <w:bCs w:val="false"/>
                <w:color w:val="000000"/>
                <w:sz w:val="21"/>
                <w:szCs w:val="21"/>
                <w:u w:val="none"/>
              </w:rPr>
              <w:t>Принять решение о заключении договора поставки холодного водоснабжения (ХВС) и водоотведения между ресурсоснабжающей организацией ГУП РК "Вода Крыма" и собственниками помещений в МКД</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975"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sz w:val="21"/>
                <w:szCs w:val="21"/>
              </w:rPr>
            </w:pPr>
            <w:r>
              <w:rPr>
                <w:rFonts w:eastAsia="Calibri" w:cs="Times New Roman" w:ascii="Times New Roman" w:hAnsi="Times New Roman"/>
                <w:b w:val="false"/>
                <w:bCs w:val="false"/>
                <w:sz w:val="21"/>
                <w:szCs w:val="21"/>
                <w:lang w:bidi="ar-SA"/>
              </w:rPr>
              <w:t>7</w:t>
            </w:r>
          </w:p>
        </w:tc>
        <w:tc>
          <w:tcPr>
            <w:tcW w:w="7872" w:type="dxa"/>
            <w:tcBorders>
              <w:left w:val="single" w:sz="2" w:space="0" w:color="000001"/>
              <w:bottom w:val="single" w:sz="2" w:space="0" w:color="000001"/>
            </w:tcBorders>
            <w:shd w:color="auto" w:fill="FFFFFF" w:val="clear"/>
          </w:tcPr>
          <w:p>
            <w:pPr>
              <w:pStyle w:val="Normal"/>
              <w:tabs>
                <w:tab w:val="clear" w:pos="709"/>
                <w:tab w:val="left" w:pos="0" w:leader="none"/>
              </w:tabs>
              <w:spacing w:lineRule="auto" w:line="240"/>
              <w:ind w:right="57" w:hanging="0"/>
              <w:jc w:val="both"/>
              <w:rPr>
                <w:rFonts w:ascii="Times New Roman" w:hAnsi="Times New Roman" w:eastAsia="Times New Roman" w:cs="Times New Roman"/>
                <w:b w:val="false"/>
                <w:b w:val="false"/>
                <w:bCs w:val="false"/>
                <w:color w:val="000000"/>
                <w:sz w:val="21"/>
                <w:szCs w:val="21"/>
              </w:rPr>
            </w:pPr>
            <w:r>
              <w:rPr>
                <w:rFonts w:eastAsia="Times New Roman" w:cs="Times New Roman" w:ascii="Times New Roman" w:hAnsi="Times New Roman"/>
                <w:b w:val="false"/>
                <w:bCs w:val="false"/>
                <w:color w:val="000000"/>
                <w:sz w:val="21"/>
                <w:szCs w:val="21"/>
              </w:rPr>
              <w:t>Принятие решения о заключении договора поставки электроснабжения между ресурсоснабжающей организацией ГУП РК "Крымэнерго" и собственниками помещений в МКД.</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1650"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sz w:val="21"/>
                <w:szCs w:val="21"/>
              </w:rPr>
            </w:pPr>
            <w:r>
              <w:rPr>
                <w:rFonts w:eastAsia="Calibri" w:cs="Times New Roman" w:ascii="Times New Roman" w:hAnsi="Times New Roman"/>
                <w:sz w:val="21"/>
                <w:szCs w:val="21"/>
                <w:lang w:bidi="ar-SA"/>
              </w:rPr>
              <w:t>8</w:t>
            </w:r>
          </w:p>
        </w:tc>
        <w:tc>
          <w:tcPr>
            <w:tcW w:w="7872" w:type="dxa"/>
            <w:tcBorders>
              <w:left w:val="single" w:sz="2" w:space="0" w:color="000001"/>
              <w:bottom w:val="single" w:sz="2" w:space="0" w:color="000001"/>
            </w:tcBorders>
            <w:shd w:color="auto" w:fill="FFFFFF" w:val="clear"/>
          </w:tcPr>
          <w:p>
            <w:pPr>
              <w:pStyle w:val="Normal"/>
              <w:tabs>
                <w:tab w:val="clear" w:pos="709"/>
                <w:tab w:val="left" w:pos="0" w:leader="none"/>
              </w:tabs>
              <w:spacing w:lineRule="auto" w:line="240"/>
              <w:ind w:right="57" w:hanging="0"/>
              <w:jc w:val="both"/>
              <w:rPr>
                <w:rFonts w:ascii="Times New Roman" w:hAnsi="Times New Roman"/>
                <w:sz w:val="21"/>
                <w:szCs w:val="21"/>
              </w:rPr>
            </w:pPr>
            <w:r>
              <w:rPr>
                <w:rFonts w:eastAsia="Times New Roman" w:cs="Times New Roman" w:ascii="Times New Roman" w:hAnsi="Times New Roman"/>
                <w:color w:val="000000"/>
                <w:sz w:val="21"/>
                <w:szCs w:val="21"/>
              </w:rPr>
              <w:t>Принятие решения об установке ИП Захарова О.В. (ИНН 910220090917) домофонов нового поколения «Умный домофон» (</w:t>
            </w:r>
            <w:r>
              <w:rPr>
                <w:rFonts w:eastAsia="Times New Roman" w:cs="Times New Roman" w:ascii="Times New Roman" w:hAnsi="Times New Roman"/>
                <w:color w:val="000000"/>
                <w:sz w:val="21"/>
                <w:szCs w:val="21"/>
                <w:lang w:val="en-US"/>
              </w:rPr>
              <w:t>IP</w:t>
            </w:r>
            <w:r>
              <w:rPr>
                <w:rFonts w:eastAsia="Times New Roman" w:cs="Times New Roman" w:ascii="Times New Roman" w:hAnsi="Times New Roman"/>
                <w:color w:val="000000"/>
                <w:sz w:val="21"/>
                <w:szCs w:val="21"/>
              </w:rPr>
              <w:t>-домофонии)  на входные двери подъездов в многоквартирном доме, и  утверждение  стоимости аренды (пользования общим имуществом) для ИП Захаровой О.В. в размере 500,00 рублей в месяц с одного коммуникационного устройства в пользу МКД, Расходование указанных средств по согласованию с Советом дома.</w:t>
            </w:r>
            <w:r>
              <w:rPr>
                <w:rFonts w:eastAsia="Times New Roman" w:cs="Times New Roman" w:ascii="Times New Roman" w:hAnsi="Times New Roman"/>
                <w:color w:val="C9211E"/>
                <w:sz w:val="21"/>
                <w:szCs w:val="21"/>
              </w:rPr>
              <w:t xml:space="preserve">      </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1470" w:hRule="exact"/>
        </w:trPr>
        <w:tc>
          <w:tcPr>
            <w:tcW w:w="506" w:type="dxa"/>
            <w:vMerge w:val="restart"/>
            <w:tcBorders>
              <w:left w:val="single" w:sz="2" w:space="0" w:color="000001"/>
              <w:bottom w:val="single" w:sz="4" w:space="0" w:color="000000"/>
            </w:tcBorders>
            <w:shd w:color="auto" w:fill="FFFFFF" w:val="clear"/>
          </w:tcPr>
          <w:p>
            <w:pPr>
              <w:pStyle w:val="Normal"/>
              <w:rPr/>
            </w:pPr>
            <w:r>
              <w:rPr>
                <w:rFonts w:eastAsia="Calibri" w:cs="Times New Roman" w:ascii="Times New Roman" w:hAnsi="Times New Roman"/>
                <w:sz w:val="21"/>
                <w:szCs w:val="21"/>
                <w:lang w:bidi="ar-SA"/>
              </w:rPr>
              <w:t>9</w:t>
            </w:r>
          </w:p>
          <w:p>
            <w:pPr>
              <w:pStyle w:val="Normal"/>
              <w:rPr>
                <w:rFonts w:ascii="Times New Roman" w:hAnsi="Times New Roman"/>
                <w:sz w:val="21"/>
                <w:szCs w:val="21"/>
              </w:rPr>
            </w:pPr>
            <w:r>
              <w:rPr>
                <w:rFonts w:eastAsia="Calibri" w:cs="Times New Roman" w:ascii="Times New Roman" w:hAnsi="Times New Roman"/>
                <w:sz w:val="21"/>
                <w:szCs w:val="21"/>
                <w:lang w:bidi="ar-SA"/>
              </w:rPr>
              <w:t xml:space="preserve">  </w:t>
            </w:r>
          </w:p>
        </w:tc>
        <w:tc>
          <w:tcPr>
            <w:tcW w:w="7872" w:type="dxa"/>
            <w:tcBorders>
              <w:left w:val="single" w:sz="2" w:space="0" w:color="000001"/>
              <w:bottom w:val="single" w:sz="4" w:space="0" w:color="000000"/>
            </w:tcBorders>
            <w:shd w:color="auto" w:fill="FFFFFF" w:val="clear"/>
          </w:tcPr>
          <w:p>
            <w:pPr>
              <w:pStyle w:val="Normal"/>
              <w:spacing w:lineRule="auto" w:line="240"/>
              <w:ind w:left="0" w:right="0" w:hanging="0"/>
              <w:jc w:val="both"/>
              <w:rPr>
                <w:rFonts w:ascii="Times New Roman" w:hAnsi="Times New Roman"/>
                <w:sz w:val="21"/>
                <w:szCs w:val="21"/>
              </w:rPr>
            </w:pPr>
            <w:r>
              <w:rPr>
                <w:rFonts w:eastAsia="Times New Roman" w:cs="Times New Roman" w:ascii="Times New Roman" w:hAnsi="Times New Roman"/>
                <w:sz w:val="21"/>
                <w:szCs w:val="21"/>
              </w:rPr>
              <w:t xml:space="preserve">Определение порядка технического обслуживания домофонов нового поколения «Умный домофон» </w:t>
            </w:r>
            <w:r>
              <w:rPr>
                <w:rFonts w:eastAsia="Times New Roman" w:cs="Times New Roman" w:ascii="Times New Roman" w:hAnsi="Times New Roman"/>
                <w:b/>
                <w:bCs/>
                <w:sz w:val="21"/>
                <w:szCs w:val="21"/>
              </w:rPr>
              <w:t>(выбрать один из вариантов):</w:t>
            </w:r>
          </w:p>
          <w:p>
            <w:pPr>
              <w:pStyle w:val="ListParagraph"/>
              <w:spacing w:lineRule="auto" w:line="240"/>
              <w:ind w:left="0" w:right="0" w:hanging="0"/>
              <w:jc w:val="both"/>
              <w:rPr>
                <w:rFonts w:eastAsia="Times New Roman" w:cs="Times New Roman"/>
                <w:b/>
                <w:b/>
                <w:bCs/>
              </w:rPr>
            </w:pPr>
            <w:r>
              <w:rPr>
                <w:rFonts w:eastAsia="Times New Roman" w:cs="Times New Roman"/>
                <w:b/>
                <w:bCs/>
              </w:rPr>
            </w:r>
          </w:p>
          <w:p>
            <w:pPr>
              <w:pStyle w:val="ListParagraph"/>
              <w:spacing w:lineRule="auto" w:line="240" w:before="0" w:after="200"/>
              <w:ind w:left="0" w:right="0" w:hanging="0"/>
              <w:contextualSpacing/>
              <w:jc w:val="both"/>
              <w:rPr/>
            </w:pPr>
            <w:r>
              <w:rPr>
                <w:rFonts w:eastAsia="Times New Roman" w:cs="Times New Roman" w:ascii="Times New Roman" w:hAnsi="Times New Roman"/>
                <w:b/>
                <w:bCs/>
                <w:color w:val="000000"/>
                <w:sz w:val="21"/>
                <w:szCs w:val="21"/>
              </w:rPr>
              <w:t>9.1. ИП Захарова О.В. п</w:t>
            </w:r>
            <w:r>
              <w:rPr>
                <w:rFonts w:eastAsia="Times New Roman" w:cs="Times New Roman" w:ascii="Times New Roman" w:hAnsi="Times New Roman"/>
                <w:color w:val="000000"/>
                <w:sz w:val="21"/>
                <w:szCs w:val="21"/>
              </w:rPr>
              <w:t>утем заключения прямых договоров с   собственниками помещений в МКД</w:t>
            </w:r>
          </w:p>
        </w:tc>
        <w:tc>
          <w:tcPr>
            <w:tcW w:w="750" w:type="dxa"/>
            <w:tcBorders>
              <w:left w:val="single" w:sz="2" w:space="0" w:color="000001"/>
              <w:bottom w:val="single" w:sz="4" w:space="0" w:color="000000"/>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4" w:space="0" w:color="000000"/>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4" w:space="0" w:color="000000"/>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1020" w:hRule="exact"/>
        </w:trPr>
        <w:tc>
          <w:tcPr>
            <w:tcW w:w="506" w:type="dxa"/>
            <w:vMerge w:val="continue"/>
            <w:tcBorders>
              <w:left w:val="single" w:sz="2" w:space="0" w:color="000001"/>
              <w:bottom w:val="single" w:sz="4" w:space="0" w:color="000000"/>
            </w:tcBorders>
            <w:shd w:color="auto" w:fill="FFFFFF" w:val="clear"/>
          </w:tcPr>
          <w:p>
            <w:pPr>
              <w:pStyle w:val="Normal"/>
              <w:rPr>
                <w:rFonts w:ascii="Times New Roman" w:hAnsi="Times New Roman"/>
                <w:sz w:val="21"/>
                <w:szCs w:val="21"/>
              </w:rPr>
            </w:pPr>
            <w:r>
              <w:rPr>
                <w:rFonts w:ascii="Times New Roman" w:hAnsi="Times New Roman"/>
                <w:sz w:val="21"/>
                <w:szCs w:val="21"/>
              </w:rPr>
            </w:r>
          </w:p>
        </w:tc>
        <w:tc>
          <w:tcPr>
            <w:tcW w:w="7872" w:type="dxa"/>
            <w:tcBorders>
              <w:top w:val="single" w:sz="4" w:space="0" w:color="000000"/>
              <w:left w:val="single" w:sz="4" w:space="0" w:color="000000"/>
              <w:bottom w:val="single" w:sz="4" w:space="0" w:color="000000"/>
              <w:right w:val="single" w:sz="4" w:space="0" w:color="000000"/>
            </w:tcBorders>
            <w:shd w:color="auto" w:fill="FFFFFF" w:val="clear"/>
          </w:tcPr>
          <w:p>
            <w:pPr>
              <w:pStyle w:val="ListParagraph"/>
              <w:spacing w:lineRule="auto" w:line="240" w:before="0" w:after="200"/>
              <w:ind w:left="0" w:right="0" w:hanging="0"/>
              <w:contextualSpacing/>
              <w:jc w:val="both"/>
              <w:rPr/>
            </w:pPr>
            <w:r>
              <w:rPr>
                <w:rFonts w:eastAsia="Times New Roman" w:cs="Times New Roman" w:ascii="Times New Roman" w:hAnsi="Times New Roman"/>
                <w:b/>
                <w:bCs/>
                <w:color w:val="000000"/>
                <w:sz w:val="21"/>
                <w:szCs w:val="21"/>
              </w:rPr>
              <w:t>9.2. Или ООО «Монолит-Комфорт»</w:t>
            </w:r>
            <w:r>
              <w:rPr>
                <w:rFonts w:eastAsia="Times New Roman" w:cs="Times New Roman" w:ascii="Times New Roman" w:hAnsi="Times New Roman"/>
                <w:color w:val="000000"/>
                <w:sz w:val="21"/>
                <w:szCs w:val="21"/>
              </w:rPr>
              <w:t xml:space="preserve"> путем выставления ежемесячной платы собственникам помещений в МКД  в размере 120 рублей с помещения </w:t>
            </w:r>
            <w:r>
              <w:rPr>
                <w:rFonts w:eastAsia="Times New Roman" w:cs="Times New Roman" w:ascii="Times New Roman" w:hAnsi="Times New Roman"/>
                <w:b/>
                <w:bCs/>
                <w:color w:val="000000"/>
                <w:sz w:val="21"/>
                <w:szCs w:val="21"/>
              </w:rPr>
              <w:t>с 01.06.2025 года.</w:t>
            </w:r>
          </w:p>
        </w:tc>
        <w:tc>
          <w:tcPr>
            <w:tcW w:w="750" w:type="dxa"/>
            <w:tcBorders>
              <w:top w:val="single" w:sz="4" w:space="0" w:color="000000"/>
              <w:left w:val="single" w:sz="4" w:space="0" w:color="000000"/>
              <w:bottom w:val="single" w:sz="4" w:space="0" w:color="000000"/>
              <w:right w:val="single" w:sz="4" w:space="0" w:color="000000"/>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top w:val="single" w:sz="4" w:space="0" w:color="000000"/>
              <w:left w:val="single" w:sz="4" w:space="0" w:color="000000"/>
              <w:bottom w:val="single" w:sz="4" w:space="0" w:color="000000"/>
              <w:right w:val="single" w:sz="4" w:space="0" w:color="000000"/>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2205" w:hRule="exact"/>
        </w:trPr>
        <w:tc>
          <w:tcPr>
            <w:tcW w:w="506" w:type="dxa"/>
            <w:tcBorders>
              <w:top w:val="single" w:sz="4" w:space="0" w:color="000000"/>
              <w:left w:val="single" w:sz="2" w:space="0" w:color="000001"/>
              <w:bottom w:val="single" w:sz="2" w:space="0" w:color="000001"/>
            </w:tcBorders>
            <w:shd w:color="auto" w:fill="FFFFFF" w:val="clear"/>
          </w:tcPr>
          <w:p>
            <w:pPr>
              <w:pStyle w:val="Normal"/>
              <w:rPr>
                <w:sz w:val="21"/>
                <w:szCs w:val="21"/>
              </w:rPr>
            </w:pPr>
            <w:r>
              <w:rPr>
                <w:rFonts w:eastAsia="Calibri" w:cs="Times New Roman" w:ascii="Times New Roman" w:hAnsi="Times New Roman"/>
                <w:sz w:val="21"/>
                <w:szCs w:val="21"/>
                <w:lang w:bidi="ar-SA"/>
              </w:rPr>
              <w:t>10</w:t>
            </w:r>
          </w:p>
        </w:tc>
        <w:tc>
          <w:tcPr>
            <w:tcW w:w="7872" w:type="dxa"/>
            <w:tcBorders>
              <w:top w:val="single" w:sz="4" w:space="0" w:color="000000"/>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sz w:val="21"/>
                <w:szCs w:val="21"/>
              </w:rPr>
            </w:pPr>
            <w:r>
              <w:rPr>
                <w:rFonts w:eastAsia="Times New Roman" w:cs="Times New Roman" w:ascii="Times New Roman" w:hAnsi="Times New Roman"/>
                <w:color w:val="000000"/>
                <w:sz w:val="21"/>
                <w:szCs w:val="21"/>
              </w:rPr>
              <w:t xml:space="preserve">Принятие решения </w:t>
            </w:r>
            <w:r>
              <w:rPr>
                <w:rFonts w:eastAsia="Times New Roman" w:cs="Times New Roman" w:ascii="Times New Roman" w:hAnsi="Times New Roman"/>
                <w:color w:val="000000"/>
                <w:sz w:val="21"/>
                <w:szCs w:val="21"/>
                <w:highlight w:val="white"/>
              </w:rPr>
              <w:t xml:space="preserve">  о размещении ИНФОРМАЦИОННОЙ КОНСТРУКЦИИ  в виде  объемных букв без подложки   с размерами  </w:t>
            </w:r>
            <w:r>
              <w:rPr>
                <w:rFonts w:eastAsia="Times New Roman" w:cs="Times New Roman" w:ascii="Times New Roman" w:hAnsi="Times New Roman"/>
                <w:color w:val="000000"/>
                <w:sz w:val="21"/>
                <w:szCs w:val="21"/>
              </w:rPr>
              <w:t>1800 мм* 400 мм  (2шт) на фасаде МКД, согласно проекта, об определении управляющей организации ООО "Монолит-Комфорт", которая от имени собственников помещений в МКД уполномочена на заключение договоров об использовании общего имущества                                                                                                                                                                                                                                                  и утверждение стоимости аренды (пользования) части общего имущества - фасада МКД   в размере 500 рублей с 1м</w:t>
            </w:r>
            <w:r>
              <w:rPr>
                <w:rFonts w:eastAsia="Times New Roman" w:cs="Times New Roman" w:ascii="Times New Roman" w:hAnsi="Times New Roman"/>
                <w:color w:val="000000"/>
                <w:sz w:val="21"/>
                <w:szCs w:val="21"/>
                <w:vertAlign w:val="superscript"/>
              </w:rPr>
              <w:t xml:space="preserve">2 </w:t>
            </w:r>
            <w:r>
              <w:rPr>
                <w:rFonts w:eastAsia="Times New Roman" w:cs="Times New Roman" w:ascii="Times New Roman" w:hAnsi="Times New Roman"/>
                <w:color w:val="000000"/>
                <w:sz w:val="21"/>
                <w:szCs w:val="21"/>
              </w:rPr>
              <w:t>площади информационной конструкции в месяц,  и расходование указанных средств по согласованию с Советом дома.</w:t>
            </w:r>
          </w:p>
        </w:tc>
        <w:tc>
          <w:tcPr>
            <w:tcW w:w="750" w:type="dxa"/>
            <w:tcBorders>
              <w:top w:val="single" w:sz="4" w:space="0" w:color="000000"/>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top w:val="single" w:sz="4" w:space="0" w:color="000000"/>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top w:val="single" w:sz="4" w:space="0" w:color="000000"/>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1200" w:hRule="exact"/>
        </w:trPr>
        <w:tc>
          <w:tcPr>
            <w:tcW w:w="506" w:type="dxa"/>
            <w:tcBorders>
              <w:left w:val="single" w:sz="2" w:space="0" w:color="000001"/>
              <w:bottom w:val="single" w:sz="2" w:space="0" w:color="000001"/>
            </w:tcBorders>
            <w:shd w:color="auto" w:fill="FFFFFF" w:val="clear"/>
          </w:tcPr>
          <w:p>
            <w:pPr>
              <w:pStyle w:val="Normal"/>
              <w:rPr>
                <w:sz w:val="21"/>
                <w:szCs w:val="21"/>
              </w:rPr>
            </w:pPr>
            <w:r>
              <w:rPr>
                <w:rFonts w:eastAsia="Calibri" w:cs="Times New Roman" w:ascii="Times New Roman" w:hAnsi="Times New Roman"/>
                <w:sz w:val="21"/>
                <w:szCs w:val="21"/>
                <w:lang w:bidi="ar-SA"/>
              </w:rPr>
              <w:t>11</w:t>
            </w:r>
          </w:p>
        </w:tc>
        <w:tc>
          <w:tcPr>
            <w:tcW w:w="7872"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eastAsia="Times New Roman" w:cs="Times New Roman"/>
                <w:color w:val="000000"/>
              </w:rPr>
            </w:pPr>
            <w:r>
              <w:rPr>
                <w:rFonts w:eastAsia="Times New Roman" w:cs="Times New Roman" w:ascii="Times New Roman" w:hAnsi="Times New Roman"/>
                <w:color w:val="000000"/>
                <w:sz w:val="21"/>
                <w:szCs w:val="21"/>
              </w:rPr>
              <w:t xml:space="preserve">Принятие решения о закрытии территории   МКД по адресам: проспект Александра Суворова, 15 корпус 1, корпус 2, корпус 3, корпус 4, корпус 5, корпус 6, корпус 7, корпус 8, корпус 9, корпус 10, корпус 11, корпус 12, проспект Александра Суворова, 17  города Симферополя, путем установки    автоматических  ворот, калиток. </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2940" w:hRule="exact"/>
        </w:trPr>
        <w:tc>
          <w:tcPr>
            <w:tcW w:w="506" w:type="dxa"/>
            <w:tcBorders>
              <w:left w:val="single" w:sz="2" w:space="0" w:color="000001"/>
              <w:bottom w:val="single" w:sz="2" w:space="0" w:color="000001"/>
            </w:tcBorders>
            <w:shd w:color="auto" w:fill="FFFFFF" w:val="clear"/>
          </w:tcPr>
          <w:p>
            <w:pPr>
              <w:pStyle w:val="Normal"/>
              <w:rPr>
                <w:sz w:val="21"/>
                <w:szCs w:val="21"/>
              </w:rPr>
            </w:pPr>
            <w:r>
              <w:rPr>
                <w:rFonts w:ascii="Times New Roman" w:hAnsi="Times New Roman"/>
                <w:sz w:val="21"/>
                <w:szCs w:val="21"/>
              </w:rPr>
              <w:t>12</w:t>
            </w:r>
          </w:p>
        </w:tc>
        <w:tc>
          <w:tcPr>
            <w:tcW w:w="7872"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sz w:val="21"/>
                <w:szCs w:val="21"/>
              </w:rPr>
              <w:t>Изготовление и монтаж автоматических ворот со встроенными калитками, осуществить при условии  обеспечения сбора средств в размере 100% от требуемой суммы. Сбор денежных средств  осуществляется  из расчета  за установку ворот с встроенными калитками в размере 48,09 руб. с 1 м.кв помещения, принадлежащего на праве собственности,  и за установку запорных устройств на ворота и калитки в размере 2,67 руб с 1м.кв. помещения, и  оплатой на основании счетов выставленных ООО «Монолит-Комфорт»  собственникам   помещений в МКД. В случае увеличения стоимости изготовления и монтажа автоматических ворот со встроенными калитками, сумма дополнительных расходов будет перевыставлена (с учетом рентабельности) собственникам помещений, после подписания Акта выполненных работ с подрядной организацией.</w:t>
              <w:tab/>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2550" w:hRule="exact"/>
        </w:trPr>
        <w:tc>
          <w:tcPr>
            <w:tcW w:w="506" w:type="dxa"/>
            <w:tcBorders>
              <w:left w:val="single" w:sz="2" w:space="0" w:color="000001"/>
              <w:bottom w:val="single" w:sz="2" w:space="0" w:color="000001"/>
            </w:tcBorders>
            <w:shd w:color="auto" w:fill="FFFFFF" w:val="clear"/>
          </w:tcPr>
          <w:p>
            <w:pPr>
              <w:pStyle w:val="Normal"/>
              <w:rPr>
                <w:sz w:val="21"/>
                <w:szCs w:val="21"/>
              </w:rPr>
            </w:pPr>
            <w:r>
              <w:rPr>
                <w:rFonts w:eastAsia="Calibri" w:cs="Times New Roman" w:ascii="Times New Roman" w:hAnsi="Times New Roman"/>
                <w:sz w:val="21"/>
                <w:szCs w:val="21"/>
                <w:lang w:bidi="ar-SA"/>
              </w:rPr>
              <w:t>13</w:t>
            </w:r>
          </w:p>
        </w:tc>
        <w:tc>
          <w:tcPr>
            <w:tcW w:w="7872"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color w:val="000000"/>
                <w:sz w:val="21"/>
                <w:szCs w:val="21"/>
              </w:rPr>
              <w:t>В случае принятия решения о закрытии территории путем установки автоматических ворот со встроенными калитками всеми МКД по адресам: проспект Александра Суворова, 15 корпус 1, корпус 2, корпус 3, корпус 4, корпус 5, корпус 6, корпус 7, корпус 8, корпус 9, корпус 10, корпус 11, корпус 12, проспект Александра Суворова, 17   города Симферополя, включить в состав общего имущества всех домов (пропорционально площади) автоматических ворот со встроенными калитками, и установить размер ежемесячной платы за обслуживание  автоматических  распашных ворот и калиток  0,12   рублей с 1 м.кв  помещения, принадлежащего на праве собственности,   с включением в платежный документ по ЖКУ отдельной строкой.</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915" w:hRule="exact"/>
        </w:trPr>
        <w:tc>
          <w:tcPr>
            <w:tcW w:w="506" w:type="dxa"/>
            <w:tcBorders>
              <w:left w:val="single" w:sz="2" w:space="0" w:color="000001"/>
              <w:bottom w:val="single" w:sz="2" w:space="0" w:color="000001"/>
            </w:tcBorders>
            <w:shd w:color="auto" w:fill="FFFFFF" w:val="clear"/>
          </w:tcPr>
          <w:p>
            <w:pPr>
              <w:pStyle w:val="Normal"/>
              <w:rPr/>
            </w:pPr>
            <w:r>
              <w:rPr>
                <w:rFonts w:cs="Times New Roman" w:ascii="Times New Roman" w:hAnsi="Times New Roman"/>
                <w:sz w:val="21"/>
                <w:szCs w:val="21"/>
              </w:rPr>
              <w:t>14</w:t>
            </w:r>
          </w:p>
        </w:tc>
        <w:tc>
          <w:tcPr>
            <w:tcW w:w="7872"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sz w:val="21"/>
                <w:szCs w:val="21"/>
              </w:rPr>
              <w:t>В случае принятия решения о закрытии территории поручить управляющей организации ООО «Монолит-Комфорт» заключить Договор на приобретение и установку  автоматических  ворот и калиток, и установку запорных устройств на них.</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2325" w:hRule="exact"/>
        </w:trPr>
        <w:tc>
          <w:tcPr>
            <w:tcW w:w="506" w:type="dxa"/>
            <w:tcBorders>
              <w:left w:val="single" w:sz="2" w:space="0" w:color="000001"/>
              <w:bottom w:val="single" w:sz="2" w:space="0" w:color="000001"/>
            </w:tcBorders>
            <w:shd w:color="auto" w:fill="FFFFFF" w:val="clear"/>
          </w:tcPr>
          <w:p>
            <w:pPr>
              <w:pStyle w:val="Normal"/>
              <w:rPr/>
            </w:pPr>
            <w:r>
              <w:rPr>
                <w:rFonts w:eastAsia="Calibri" w:cs="Times New Roman" w:ascii="Times New Roman" w:hAnsi="Times New Roman"/>
                <w:sz w:val="21"/>
                <w:szCs w:val="21"/>
                <w:lang w:bidi="ar-SA"/>
              </w:rPr>
              <w:t>15</w:t>
            </w:r>
          </w:p>
        </w:tc>
        <w:tc>
          <w:tcPr>
            <w:tcW w:w="7872"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eastAsia="Times New Roman" w:cs="Times New Roman"/>
                <w:color w:val="000000"/>
              </w:rPr>
            </w:pPr>
            <w:r>
              <w:rPr>
                <w:rFonts w:eastAsia="Times New Roman" w:cs="Times New Roman" w:ascii="Times New Roman" w:hAnsi="Times New Roman"/>
                <w:color w:val="000000"/>
                <w:sz w:val="21"/>
                <w:szCs w:val="21"/>
              </w:rPr>
              <w:t xml:space="preserve">Принятие  решение о благоустройстве  детской площадки  размером 440м2 ( обустройство резинового покрытия и тротуарной плитки, установка нового оборудования ) за счет дополнительных средств собственников     помещений МКД по адресам: проспект Александра Суворова, 15 корпус 1, корпус 2, корпус 3, корпус 4, корпус 5, корпус 6, корпус 7, корпус 8, корпус 9, корпус 10, корпус 11, корпус 12, проспект Александра Суворова, 17  города Симферополя. Сбор денежных средств  осуществляется  из расчета  104,24 руб. с 1 м.кв помещения, принадлежащего на праве собственности,  и оплатой на основании счетов выставленных ООО «Монолит-Комфорт»  собственникам помещений в МКД.                                                                                                                               </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eastAsia="Times New Roman" w:cs="Times New Roman"/>
                <w:b/>
                <w:b/>
                <w:bCs/>
                <w:color w:val="000000"/>
                <w:sz w:val="21"/>
                <w:szCs w:val="21"/>
              </w:rPr>
            </w:pPr>
            <w:r>
              <w:rPr>
                <w:rFonts w:eastAsia="Times New Roman" w:cs="Times New Roman" w:ascii="Times New Roman" w:hAnsi="Times New Roman"/>
                <w:b/>
                <w:bCs/>
                <w:color w:val="000000"/>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1125" w:hRule="exact"/>
        </w:trPr>
        <w:tc>
          <w:tcPr>
            <w:tcW w:w="506" w:type="dxa"/>
            <w:tcBorders>
              <w:left w:val="single" w:sz="2" w:space="0" w:color="000001"/>
              <w:bottom w:val="single" w:sz="2" w:space="0" w:color="000001"/>
            </w:tcBorders>
            <w:shd w:color="auto" w:fill="FFFFFF" w:val="clear"/>
          </w:tcPr>
          <w:p>
            <w:pPr>
              <w:pStyle w:val="Normal"/>
              <w:rPr/>
            </w:pPr>
            <w:r>
              <w:rPr>
                <w:rFonts w:eastAsia="Calibri" w:cs="Times New Roman" w:ascii="Times New Roman" w:hAnsi="Times New Roman"/>
                <w:sz w:val="21"/>
                <w:szCs w:val="21"/>
                <w:lang w:bidi="ar-SA"/>
              </w:rPr>
              <w:t>16</w:t>
            </w:r>
          </w:p>
        </w:tc>
        <w:tc>
          <w:tcPr>
            <w:tcW w:w="7872"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color w:val="000000"/>
                <w:sz w:val="21"/>
                <w:szCs w:val="21"/>
              </w:rPr>
              <w:t>В случае принятия решения о  благоустройстве  детской площадки  размером 440м2, поручить управляющей организации ООО «Монолит-Комфорт» заключить Договор  с подрядной организацией, при условии  обеспечения сбора средств в размере 100% от требуемой суммы.</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2160" w:hRule="exact"/>
        </w:trPr>
        <w:tc>
          <w:tcPr>
            <w:tcW w:w="506" w:type="dxa"/>
            <w:tcBorders>
              <w:left w:val="single" w:sz="2" w:space="0" w:color="000001"/>
              <w:bottom w:val="single" w:sz="2" w:space="0" w:color="000001"/>
            </w:tcBorders>
            <w:shd w:color="auto" w:fill="FFFFFF" w:val="clear"/>
          </w:tcPr>
          <w:p>
            <w:pPr>
              <w:pStyle w:val="Normal"/>
              <w:rPr/>
            </w:pPr>
            <w:r>
              <w:rPr>
                <w:rFonts w:eastAsia="Calibri" w:cs="Times New Roman" w:ascii="Times New Roman" w:hAnsi="Times New Roman"/>
                <w:sz w:val="21"/>
                <w:szCs w:val="21"/>
                <w:lang w:bidi="ar-SA"/>
              </w:rPr>
              <w:t>17</w:t>
            </w:r>
          </w:p>
        </w:tc>
        <w:tc>
          <w:tcPr>
            <w:tcW w:w="7872"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color w:val="000000"/>
                <w:sz w:val="21"/>
                <w:szCs w:val="21"/>
              </w:rPr>
              <w:t xml:space="preserve">Принятие решения о монтаже системы автоматического полива ЖК  за счет дополнительных средств собственников     помещений МКД по адресам: проспект Александра Суворова, 15 корпус 1, корпус 2, корпус 3, корпус 4, корпус 5, корпус 6, корпус 7, корпус 8, корпус 9, корпус 10, корпус 11, корпус 12, проспект Александра Суворова, 17  города Симферополя. Сбор денежных средств осуществляется из расчета    172,60 руб. с 1 м.кв помещения, принадлежащего на праве собственности,  и оплатой на основании счетов выставленных ООО «Монолит-Комфорт»  собственникам   помещений в МКД.                                                                                                                                      </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1185" w:hRule="exact"/>
        </w:trPr>
        <w:tc>
          <w:tcPr>
            <w:tcW w:w="506" w:type="dxa"/>
            <w:tcBorders>
              <w:left w:val="single" w:sz="2" w:space="0" w:color="000001"/>
              <w:bottom w:val="single" w:sz="2" w:space="0" w:color="000001"/>
            </w:tcBorders>
            <w:shd w:color="auto" w:fill="FFFFFF" w:val="clear"/>
          </w:tcPr>
          <w:p>
            <w:pPr>
              <w:pStyle w:val="Normal"/>
              <w:rPr/>
            </w:pPr>
            <w:r>
              <w:rPr>
                <w:rFonts w:eastAsia="Calibri" w:cs="Times New Roman" w:ascii="Times New Roman" w:hAnsi="Times New Roman"/>
                <w:sz w:val="21"/>
                <w:szCs w:val="21"/>
                <w:lang w:bidi="ar-SA"/>
              </w:rPr>
              <w:t>18</w:t>
            </w:r>
          </w:p>
        </w:tc>
        <w:tc>
          <w:tcPr>
            <w:tcW w:w="7872"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color w:val="000000"/>
                <w:sz w:val="21"/>
                <w:szCs w:val="21"/>
              </w:rPr>
              <w:t>В случае принятия решения о  монтаже системы автоматического полива ЖК, поручить управляющей организации ООО «Монолит-Комфорт» заключить Договор  с подрядной организацией, при условии  обеспечения сбора средств в размере 100% от требуемой суммы.</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bl>
    <w:p>
      <w:pPr>
        <w:pStyle w:val="Style23"/>
        <w:spacing w:before="120" w:after="0"/>
        <w:rPr/>
      </w:pPr>
      <w:r>
        <w:rPr>
          <w:rFonts w:ascii="Times New Roman" w:hAnsi="Times New Roman"/>
          <w:b/>
          <w:bCs/>
          <w:iCs/>
          <w:sz w:val="21"/>
          <w:szCs w:val="21"/>
        </w:rPr>
        <w:t>Подпись собственника (представителя собственника) ______________________/_____________________</w:t>
      </w:r>
      <w:bookmarkStart w:id="1" w:name="OCRUncertain152"/>
      <w:bookmarkStart w:id="2" w:name="OCRUncertain1521"/>
      <w:bookmarkEnd w:id="1"/>
      <w:bookmarkEnd w:id="2"/>
      <w:r>
        <w:rPr>
          <w:rFonts w:ascii="Times New Roman" w:hAnsi="Times New Roman"/>
          <w:b/>
          <w:bCs/>
          <w:iCs/>
          <w:sz w:val="21"/>
          <w:szCs w:val="21"/>
        </w:rPr>
        <w:t xml:space="preserve">                                                                                                                                                                                      </w:t>
        <w:tab/>
        <w:tab/>
      </w:r>
      <w:r>
        <w:rPr>
          <w:rFonts w:ascii="Times New Roman" w:hAnsi="Times New Roman"/>
          <w:iCs/>
          <w:sz w:val="21"/>
          <w:szCs w:val="21"/>
        </w:rPr>
        <w:t>Ф.И.О.</w:t>
      </w:r>
    </w:p>
    <w:sectPr>
      <w:type w:val="nextPage"/>
      <w:pgSz w:w="11906" w:h="16838"/>
      <w:pgMar w:left="885" w:right="748" w:header="0" w:top="765" w:footer="0" w:bottom="653"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Liberation Serif">
    <w:altName w:val="Times New Roman"/>
    <w:charset w:val="cc"/>
    <w:family w:val="swiss"/>
    <w:pitch w:val="variable"/>
  </w:font>
  <w:font w:name="Arial">
    <w:charset w:val="cc"/>
    <w:family w:val="swiss"/>
    <w:pitch w:val="variable"/>
  </w:font>
  <w:font w:name="Times New Roman">
    <w:charset w:val="cc"/>
    <w:family w:val="roman"/>
    <w:pitch w:val="variable"/>
  </w:font>
  <w:font w:name="Tahoma">
    <w:charset w:val="cc"/>
    <w:family w:val="roman"/>
    <w:pitch w:val="variable"/>
  </w:font>
  <w:font w:name="Calibri">
    <w:charset w:val="cc"/>
    <w:family w:val="roman"/>
    <w:pitch w:val="variable"/>
  </w:font>
  <w:font w:name="Liberation Sans">
    <w:altName w:val="Arial"/>
    <w:charset w:val="cc"/>
    <w:family w:val="roman"/>
    <w:pitch w:val="variable"/>
  </w:font>
  <w:font w:name="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9"/>
  <w:compat>
    <w:doNotExpandShiftReturn/>
  </w:compat>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ru-RU"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LineNumbers/>
      <w:bidi w:val="0"/>
      <w:jc w:val="left"/>
    </w:pPr>
    <w:rPr>
      <w:rFonts w:ascii="Liberation Serif" w:hAnsi="Liberation Serif" w:eastAsia="SimSun" w:cs="Arial"/>
      <w:color w:val="auto"/>
      <w:kern w:val="2"/>
      <w:sz w:val="24"/>
      <w:szCs w:val="24"/>
      <w:lang w:val="ru-RU" w:eastAsia="zh-CN" w:bidi="hi-IN"/>
    </w:rPr>
  </w:style>
  <w:style w:type="paragraph" w:styleId="1">
    <w:name w:val="Heading 1"/>
    <w:next w:val="Normal"/>
    <w:uiPriority w:val="9"/>
    <w:qFormat/>
    <w:pPr>
      <w:keepNext w:val="true"/>
      <w:keepLines/>
      <w:widowControl/>
      <w:numPr>
        <w:ilvl w:val="0"/>
        <w:numId w:val="1"/>
      </w:numPr>
      <w:bidi w:val="0"/>
      <w:spacing w:before="240" w:after="60"/>
      <w:jc w:val="left"/>
      <w:outlineLvl w:val="0"/>
    </w:pPr>
    <w:rPr>
      <w:rFonts w:ascii="Arial" w:hAnsi="Arial" w:eastAsia="SimSun" w:cs="Arial"/>
      <w:b/>
      <w:bCs/>
      <w:color w:val="auto"/>
      <w:kern w:val="2"/>
      <w:sz w:val="36"/>
      <w:szCs w:val="36"/>
      <w:lang w:val="ru-RU" w:eastAsia="ru-RU" w:bidi="ru-RU"/>
    </w:rPr>
  </w:style>
  <w:style w:type="paragraph" w:styleId="2">
    <w:name w:val="Heading 2"/>
    <w:basedOn w:val="Style19"/>
    <w:next w:val="Style15"/>
    <w:uiPriority w:val="9"/>
    <w:semiHidden/>
    <w:unhideWhenUsed/>
    <w:qFormat/>
    <w:pPr>
      <w:numPr>
        <w:ilvl w:val="1"/>
        <w:numId w:val="1"/>
      </w:numPr>
      <w:spacing w:before="200" w:after="0"/>
      <w:outlineLvl w:val="1"/>
    </w:pPr>
    <w:rPr>
      <w:rFonts w:ascii="Liberation Serif" w:hAnsi="Liberation Serif" w:eastAsia="SimSun" w:cs="Arial"/>
      <w:b/>
      <w:bCs/>
      <w:sz w:val="36"/>
      <w:szCs w:val="36"/>
    </w:rPr>
  </w:style>
  <w:style w:type="paragraph" w:styleId="3">
    <w:name w:val="Heading 3"/>
    <w:basedOn w:val="2"/>
    <w:next w:val="Normal"/>
    <w:uiPriority w:val="9"/>
    <w:semiHidden/>
    <w:unhideWhenUsed/>
    <w:qFormat/>
    <w:pPr>
      <w:keepLines/>
      <w:numPr>
        <w:ilvl w:val="2"/>
        <w:numId w:val="1"/>
      </w:numPr>
      <w:spacing w:before="240" w:after="60"/>
      <w:outlineLvl w:val="2"/>
    </w:pPr>
    <w:rPr>
      <w:rFonts w:ascii="Arial" w:hAnsi="Arial"/>
      <w:sz w:val="28"/>
      <w:szCs w:val="28"/>
      <w:lang w:eastAsia="ru-RU" w:bidi="ru-RU"/>
    </w:rPr>
  </w:style>
  <w:style w:type="paragraph" w:styleId="4">
    <w:name w:val="Heading 4"/>
    <w:basedOn w:val="Normal"/>
    <w:next w:val="Normal"/>
    <w:qFormat/>
    <w:pPr>
      <w:keepNext w:val="true"/>
      <w:keepLines/>
      <w:spacing w:before="280" w:after="80"/>
      <w:contextualSpacing/>
      <w:outlineLvl w:val="3"/>
    </w:pPr>
    <w:rPr>
      <w:color w:val="666666"/>
    </w:rPr>
  </w:style>
  <w:style w:type="paragraph" w:styleId="5">
    <w:name w:val="Heading 5"/>
    <w:basedOn w:val="Normal"/>
    <w:next w:val="Normal"/>
    <w:qFormat/>
    <w:pPr>
      <w:keepNext w:val="true"/>
      <w:keepLines/>
      <w:spacing w:before="240" w:after="80"/>
      <w:contextualSpacing/>
      <w:outlineLvl w:val="4"/>
    </w:pPr>
    <w:rPr>
      <w:color w:val="666666"/>
    </w:rPr>
  </w:style>
  <w:style w:type="paragraph" w:styleId="6">
    <w:name w:val="Heading 6"/>
    <w:basedOn w:val="Normal"/>
    <w:next w:val="Normal"/>
    <w:qFormat/>
    <w:pPr>
      <w:keepNext w:val="true"/>
      <w:keepLines/>
      <w:spacing w:before="240" w:after="80"/>
      <w:contextualSpacing/>
      <w:outlineLvl w:val="5"/>
    </w:pPr>
    <w:rPr>
      <w:i/>
      <w:color w:val="666666"/>
    </w:rPr>
  </w:style>
  <w:style w:type="character" w:styleId="DefaultParagraphFont" w:default="1">
    <w:name w:val="Default Paragraph Font"/>
    <w:uiPriority w:val="1"/>
    <w:semiHidden/>
    <w:unhideWhenUsed/>
    <w:qFormat/>
    <w:rPr/>
  </w:style>
  <w:style w:type="character" w:styleId="11" w:customStyle="1">
    <w:name w:val="Обычный1"/>
    <w:qFormat/>
    <w:rPr>
      <w:rFonts w:ascii="Liberation Serif" w:hAnsi="Liberation Serif" w:eastAsia="SimSun" w:cs="Arial"/>
      <w:color w:val="auto"/>
      <w:kern w:val="2"/>
      <w:position w:val="0"/>
      <w:sz w:val="24"/>
      <w:sz w:val="24"/>
      <w:szCs w:val="24"/>
      <w:vertAlign w:val="baseline"/>
      <w:lang w:val="ru-RU" w:eastAsia="zh-CN" w:bidi="hi-IN"/>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Times New Roman" w:hAnsi="Times New Roman" w:eastAsia="Times New Roman" w:cs="Times New Roman"/>
      <w:sz w:val="22"/>
      <w:szCs w:val="22"/>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Times New Roman" w:hAnsi="Times New Roman" w:cs="Times New Roman"/>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6z0" w:customStyle="1">
    <w:name w:val="WW8Num16z0"/>
    <w:qFormat/>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12" w:customStyle="1">
    <w:name w:val="Основной шрифт абзаца1"/>
    <w:qFormat/>
    <w:rPr/>
  </w:style>
  <w:style w:type="character" w:styleId="Style8" w:customStyle="1">
    <w:name w:val="Знак Знак"/>
    <w:qFormat/>
    <w:rPr>
      <w:rFonts w:ascii="Tahoma" w:hAnsi="Tahoma" w:cs="Tahoma"/>
      <w:sz w:val="16"/>
      <w:szCs w:val="16"/>
    </w:rPr>
  </w:style>
  <w:style w:type="character" w:styleId="Style9" w:customStyle="1">
    <w:name w:val="Верхний колонтитул Знак"/>
    <w:qFormat/>
    <w:rPr>
      <w:rFonts w:ascii="Calibri" w:hAnsi="Calibri" w:eastAsia="Calibri" w:cs="Calibri"/>
      <w:sz w:val="22"/>
      <w:szCs w:val="22"/>
    </w:rPr>
  </w:style>
  <w:style w:type="character" w:styleId="Style10" w:customStyle="1">
    <w:name w:val="Нижний колонтитул Знак"/>
    <w:qFormat/>
    <w:rPr>
      <w:rFonts w:ascii="Calibri" w:hAnsi="Calibri" w:eastAsia="Calibri" w:cs="Calibri"/>
      <w:sz w:val="22"/>
      <w:szCs w:val="22"/>
    </w:rPr>
  </w:style>
  <w:style w:type="character" w:styleId="Style11" w:customStyle="1">
    <w:name w:val="Интернет-ссылка"/>
    <w:rPr>
      <w:color w:val="0000FF"/>
      <w:u w:val="single"/>
    </w:rPr>
  </w:style>
  <w:style w:type="character" w:styleId="Style12" w:customStyle="1">
    <w:name w:val="Выделение жирным"/>
    <w:qFormat/>
    <w:rPr>
      <w:b/>
      <w:bCs/>
    </w:rPr>
  </w:style>
  <w:style w:type="character" w:styleId="Style13" w:customStyle="1">
    <w:name w:val="Символ нумерации"/>
    <w:qFormat/>
    <w:rPr/>
  </w:style>
  <w:style w:type="character" w:styleId="Normaltextrun" w:customStyle="1">
    <w:name w:val="normaltextrun"/>
    <w:basedOn w:val="DefaultParagraphFont"/>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before="0" w:after="120"/>
    </w:pPr>
    <w:rPr/>
  </w:style>
  <w:style w:type="paragraph" w:styleId="Style16">
    <w:name w:val="List"/>
    <w:basedOn w:val="Style15"/>
    <w:pPr/>
    <w:rPr>
      <w:rFonts w:ascii="Arial" w:hAnsi="Arial" w:cs="Tahoma"/>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Style19">
    <w:name w:val="Title"/>
    <w:basedOn w:val="Normal"/>
    <w:next w:val="Style15"/>
    <w:uiPriority w:val="10"/>
    <w:qFormat/>
    <w:pPr>
      <w:keepNext w:val="true"/>
      <w:spacing w:before="240" w:after="120"/>
    </w:pPr>
    <w:rPr>
      <w:rFonts w:ascii="Arial" w:hAnsi="Arial" w:eastAsia="Lucida Sans Unicode" w:cs="Tahoma"/>
      <w:sz w:val="28"/>
      <w:szCs w:val="28"/>
    </w:rPr>
  </w:style>
  <w:style w:type="paragraph" w:styleId="13" w:customStyle="1">
    <w:name w:val="Заголовок1"/>
    <w:basedOn w:val="Normal"/>
    <w:next w:val="Style15"/>
    <w:qFormat/>
    <w:pPr>
      <w:keepNext w:val="true"/>
      <w:spacing w:before="240" w:after="120"/>
    </w:pPr>
    <w:rPr>
      <w:rFonts w:ascii="Liberation Sans" w:hAnsi="Liberation Sans" w:eastAsia="Microsoft YaHei"/>
      <w:sz w:val="28"/>
      <w:szCs w:val="28"/>
    </w:rPr>
  </w:style>
  <w:style w:type="paragraph" w:styleId="Caption">
    <w:name w:val="caption"/>
    <w:basedOn w:val="Normal"/>
    <w:qFormat/>
    <w:pPr>
      <w:spacing w:before="120" w:after="120"/>
    </w:pPr>
    <w:rPr>
      <w:i/>
      <w:iCs/>
    </w:rPr>
  </w:style>
  <w:style w:type="paragraph" w:styleId="Indexheading">
    <w:name w:val="index heading"/>
    <w:basedOn w:val="Normal"/>
    <w:qFormat/>
    <w:pPr/>
    <w:rPr/>
  </w:style>
  <w:style w:type="paragraph" w:styleId="Style20" w:customStyle="1">
    <w:name w:val="Обычный*"/>
    <w:basedOn w:val="Normal"/>
    <w:qFormat/>
    <w:pPr>
      <w:suppressAutoHyphens w:val="true"/>
    </w:pPr>
    <w:rPr/>
  </w:style>
  <w:style w:type="paragraph" w:styleId="14" w:customStyle="1">
    <w:name w:val="Название1"/>
    <w:basedOn w:val="Normal"/>
    <w:qFormat/>
    <w:pPr>
      <w:spacing w:before="120" w:after="120"/>
    </w:pPr>
    <w:rPr>
      <w:rFonts w:ascii="Arial" w:hAnsi="Arial" w:cs="Tahoma"/>
      <w:i/>
      <w:iCs/>
      <w:sz w:val="20"/>
    </w:rPr>
  </w:style>
  <w:style w:type="paragraph" w:styleId="15" w:customStyle="1">
    <w:name w:val="Указатель1"/>
    <w:basedOn w:val="Normal"/>
    <w:qFormat/>
    <w:pPr/>
    <w:rPr>
      <w:rFonts w:ascii="Arial" w:hAnsi="Arial" w:cs="Tahoma"/>
    </w:rPr>
  </w:style>
  <w:style w:type="paragraph" w:styleId="16" w:customStyle="1">
    <w:name w:val="Обычный (веб)1"/>
    <w:basedOn w:val="Normal"/>
    <w:qFormat/>
    <w:pPr>
      <w:spacing w:before="75" w:after="75"/>
    </w:pPr>
    <w:rPr>
      <w:rFonts w:ascii="Times New Roman" w:hAnsi="Times New Roman" w:eastAsia="Times New Roman" w:cs="Times New Roman"/>
    </w:rPr>
  </w:style>
  <w:style w:type="paragraph" w:styleId="ConsNonformat" w:customStyle="1">
    <w:name w:val="ConsNonformat"/>
    <w:basedOn w:val="Normal"/>
    <w:qFormat/>
    <w:pPr>
      <w:widowControl/>
      <w:suppressAutoHyphens w:val="true"/>
    </w:pPr>
    <w:rPr>
      <w:rFonts w:ascii="Courier New" w:hAnsi="Courier New" w:eastAsia="Times New Roman" w:cs="Courier New"/>
      <w:sz w:val="20"/>
      <w:szCs w:val="20"/>
      <w:lang w:bidi="ar-SA"/>
    </w:rPr>
  </w:style>
  <w:style w:type="paragraph" w:styleId="LONormal" w:customStyle="1">
    <w:name w:val="LO-Normal"/>
    <w:basedOn w:val="Normal"/>
    <w:qFormat/>
    <w:pPr>
      <w:widowControl/>
      <w:suppressAutoHyphens w:val="true"/>
    </w:pPr>
    <w:rPr>
      <w:rFonts w:ascii="Times New Roman" w:hAnsi="Times New Roman" w:eastAsia="Times New Roman" w:cs="Calibri"/>
      <w:sz w:val="20"/>
      <w:szCs w:val="20"/>
      <w:lang w:bidi="ar-SA"/>
    </w:rPr>
  </w:style>
  <w:style w:type="paragraph" w:styleId="BalloonText">
    <w:name w:val="Balloon Text"/>
    <w:basedOn w:val="Normal"/>
    <w:qFormat/>
    <w:pPr/>
    <w:rPr>
      <w:rFonts w:ascii="Tahoma" w:hAnsi="Tahoma" w:cs="Tahoma"/>
      <w:sz w:val="16"/>
      <w:szCs w:val="16"/>
    </w:rPr>
  </w:style>
  <w:style w:type="paragraph" w:styleId="10" w:customStyle="1">
    <w:name w:val="Обычный + 10"/>
    <w:basedOn w:val="Normal"/>
    <w:qFormat/>
    <w:pPr/>
    <w:rPr>
      <w:rFonts w:ascii="Times New Roman" w:hAnsi="Times New Roman" w:eastAsia="Arial" w:cs="Times New Roman"/>
      <w:sz w:val="20"/>
      <w:szCs w:val="20"/>
    </w:rPr>
  </w:style>
  <w:style w:type="paragraph" w:styleId="ConsPlusNonformat" w:customStyle="1">
    <w:name w:val="ConsPlusNonformat"/>
    <w:basedOn w:val="Normal"/>
    <w:qFormat/>
    <w:pPr>
      <w:widowControl/>
      <w:suppressAutoHyphens w:val="true"/>
    </w:pPr>
    <w:rPr>
      <w:rFonts w:ascii="Courier New" w:hAnsi="Courier New" w:eastAsia="Times New Roman" w:cs="Courier New"/>
      <w:sz w:val="20"/>
      <w:szCs w:val="20"/>
      <w:lang w:bidi="ar-SA"/>
    </w:rPr>
  </w:style>
  <w:style w:type="paragraph" w:styleId="Style21" w:customStyle="1">
    <w:name w:val="Верхний и нижний колонтитулы"/>
    <w:basedOn w:val="Normal"/>
    <w:qFormat/>
    <w:pPr>
      <w:tabs>
        <w:tab w:val="clear" w:pos="709"/>
        <w:tab w:val="center" w:pos="4820" w:leader="none"/>
        <w:tab w:val="right" w:pos="9639" w:leader="none"/>
      </w:tabs>
    </w:pPr>
    <w:rPr/>
  </w:style>
  <w:style w:type="paragraph" w:styleId="Style22">
    <w:name w:val="Header"/>
    <w:basedOn w:val="Normal"/>
    <w:pPr>
      <w:tabs>
        <w:tab w:val="clear" w:pos="709"/>
        <w:tab w:val="center" w:pos="4678" w:leader="none"/>
        <w:tab w:val="right" w:pos="9356" w:leader="none"/>
      </w:tabs>
    </w:pPr>
    <w:rPr>
      <w:rFonts w:cs="Times New Roman"/>
    </w:rPr>
  </w:style>
  <w:style w:type="paragraph" w:styleId="Style23">
    <w:name w:val="Footer"/>
    <w:basedOn w:val="Normal"/>
    <w:pPr>
      <w:tabs>
        <w:tab w:val="clear" w:pos="709"/>
        <w:tab w:val="center" w:pos="4678" w:leader="none"/>
        <w:tab w:val="right" w:pos="9356" w:leader="none"/>
      </w:tabs>
    </w:pPr>
    <w:rPr>
      <w:rFonts w:cs="Times New Roman"/>
    </w:rPr>
  </w:style>
  <w:style w:type="paragraph" w:styleId="Style24" w:customStyle="1">
    <w:name w:val="Содержимое таблицы"/>
    <w:basedOn w:val="Normal"/>
    <w:qFormat/>
    <w:pPr/>
    <w:rPr/>
  </w:style>
  <w:style w:type="paragraph" w:styleId="Style25" w:customStyle="1">
    <w:name w:val="Заголовок таблицы"/>
    <w:basedOn w:val="Style24"/>
    <w:qFormat/>
    <w:pPr>
      <w:jc w:val="center"/>
    </w:pPr>
    <w:rPr>
      <w:b/>
      <w:bCs/>
    </w:rPr>
  </w:style>
  <w:style w:type="paragraph" w:styleId="Standard" w:customStyle="1">
    <w:name w:val="Standard"/>
    <w:basedOn w:val="Normal"/>
    <w:qFormat/>
    <w:pPr>
      <w:suppressAutoHyphens w:val="true"/>
    </w:pPr>
    <w:rPr>
      <w:rFonts w:cs="Mangal"/>
    </w:rPr>
  </w:style>
  <w:style w:type="paragraph" w:styleId="Style26">
    <w:name w:val="Signature"/>
    <w:basedOn w:val="Normal"/>
    <w:next w:val="Style15"/>
    <w:pPr>
      <w:spacing w:before="240" w:after="60"/>
      <w:jc w:val="center"/>
    </w:pPr>
    <w:rPr>
      <w:rFonts w:ascii="Arial" w:hAnsi="Arial" w:eastAsia="Times New Roman"/>
      <w:b/>
      <w:bCs/>
      <w:sz w:val="32"/>
      <w:szCs w:val="32"/>
      <w:lang w:eastAsia="ru-RU"/>
    </w:rPr>
  </w:style>
  <w:style w:type="paragraph" w:styleId="Style27">
    <w:name w:val="Subtitle"/>
    <w:basedOn w:val="Normal"/>
    <w:next w:val="Normal"/>
    <w:qFormat/>
    <w:pPr>
      <w:keepNext w:val="true"/>
      <w:keepLines/>
      <w:spacing w:before="0" w:after="320"/>
      <w:contextualSpacing/>
    </w:pPr>
    <w:rPr>
      <w:color w:val="666666"/>
      <w:sz w:val="30"/>
      <w:szCs w:val="30"/>
    </w:rPr>
  </w:style>
  <w:style w:type="paragraph" w:styleId="TableNormal1" w:customStyle="1">
    <w:name w:val="Table Normal1"/>
    <w:qFormat/>
    <w:pPr>
      <w:widowControl/>
      <w:suppressAutoHyphens w:val="true"/>
      <w:bidi w:val="0"/>
      <w:jc w:val="left"/>
    </w:pPr>
    <w:rPr>
      <w:rFonts w:ascii="Times New Roman" w:hAnsi="Times New Roman" w:eastAsia="Times New Roman" w:cs="Times New Roman"/>
      <w:color w:val="auto"/>
      <w:kern w:val="2"/>
      <w:sz w:val="24"/>
      <w:szCs w:val="20"/>
      <w:lang w:val="ru-RU" w:eastAsia="zh-CN" w:bidi="ar-SA"/>
    </w:rPr>
  </w:style>
  <w:style w:type="paragraph" w:styleId="17" w:customStyle="1">
    <w:name w:val="Обычная таблица1"/>
    <w:qFormat/>
    <w:pPr>
      <w:widowControl/>
      <w:suppressAutoHyphens w:val="true"/>
      <w:bidi w:val="0"/>
      <w:jc w:val="left"/>
    </w:pPr>
    <w:rPr>
      <w:rFonts w:ascii="Times New Roman" w:hAnsi="Times New Roman" w:eastAsia="Times New Roman" w:cs="Times New Roman"/>
      <w:color w:val="auto"/>
      <w:kern w:val="2"/>
      <w:sz w:val="24"/>
      <w:szCs w:val="20"/>
      <w:lang w:val="ru-RU" w:eastAsia="zh-CN" w:bidi="hi-IN"/>
    </w:rPr>
  </w:style>
  <w:style w:type="paragraph" w:styleId="ListParagraph">
    <w:name w:val="List Paragraph"/>
    <w:basedOn w:val="Normal"/>
    <w:qFormat/>
    <w:pPr>
      <w:spacing w:before="0" w:after="200"/>
      <w:ind w:left="720" w:hanging="0"/>
      <w:contextualSpacing/>
    </w:pPr>
    <w:rPr/>
  </w:style>
  <w:style w:type="numbering" w:styleId="NoList" w:default="1">
    <w:name w:val="No List"/>
    <w:uiPriority w:val="99"/>
    <w:semiHidden/>
    <w:unhideWhenUsed/>
    <w:qFormat/>
  </w:style>
  <w:style w:type="numbering" w:styleId="WW8Num1" w:customStyle="1">
    <w:name w:val="WW8Num1"/>
    <w:qFormat/>
  </w:style>
  <w:style w:type="table" w:default="1" w:styleId="a3">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28921-9FA4-469A-9FCA-D24001471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Application>LibreOffice/6.2.5.2$Windows_x86 LibreOffice_project/1ec314fa52f458adc18c4f025c545a4e8b22c159</Application>
  <Pages>3</Pages>
  <Words>1106</Words>
  <Characters>6305</Characters>
  <CharactersWithSpaces>7397</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2022-01-08T10:14:00Z</dcterms:created>
  <dc:creator>Ляшенко Е</dc:creator>
  <dc:description/>
  <dc:language>ru-RU</dc:language>
  <cp:lastModifiedBy/>
  <cp:lastPrinted>2024-08-30T08:44:00Z</cp:lastPrinted>
  <dcterms:modified xsi:type="dcterms:W3CDTF">2024-12-27T12:20:24Z</dcterms:modified>
  <cp:revision>40</cp:revision>
  <dc:subject/>
  <dc:title>ПРОТОКОЛ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