
<file path=[Content_Types].xml><?xml version="1.0" encoding="utf-8"?>
<Types xmlns="http://schemas.openxmlformats.org/package/2006/content-types">
  <Default Extension="xml" ContentType="application/xml"/>
  <Default Extension="jpe" ContentType="image/jpeg"/>
  <Default Extension="rels" ContentType="application/vnd.openxmlformats-package.relationships+xml"/>
  <Default Extension="jpg" ContentType="image/jpeg"/>
  <Default Extension="bmp" ContentType="image/bmp"/>
  <Default Extension="jpeg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 xml:space="preserve">Протокол № </w:t>
      </w:r>
      <w:r>
        <w:rPr>
          <w:rFonts w:ascii="Arial" w:cs="Arial" w:eastAsia="Times New Roman" w:hAnsi="Arial"/>
          <w:b/>
          <w:sz w:val="24"/>
          <w:szCs w:val="24"/>
        </w:rPr>
        <w:t>2Э/2022</w:t>
      </w:r>
      <w:r>
        <w:rPr>
          <w:rFonts w:ascii="Arial" w:cs="Arial" w:eastAsia="Times New Roman" w:hAnsi="Arial"/>
          <w:b/>
          <w:sz w:val="24"/>
          <w:szCs w:val="24"/>
        </w:rPr>
        <w:t xml:space="preserve"> от </w:t>
      </w:r>
      <w:r>
        <w:rPr>
          <w:rFonts w:ascii="Arial" w:cs="Arial" w:eastAsia="Times New Roman" w:hAnsi="Arial"/>
          <w:b/>
          <w:sz w:val="24"/>
          <w:szCs w:val="24"/>
        </w:rPr>
        <w:t>10.11.2022</w:t>
      </w:r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внеочередного</w:t>
      </w:r>
      <w:r>
        <w:rPr>
          <w:rFonts w:ascii="Arial" w:cs="Arial" w:eastAsia="Times New Roman" w:hAnsi="Arial"/>
          <w:b/>
          <w:sz w:val="24"/>
          <w:szCs w:val="24"/>
        </w:rPr>
        <w:t xml:space="preserve"> общего собрания собственников многоквартирного дома,</w:t>
      </w:r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расположенного по адресу</w:t>
      </w:r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Московская область, г Дмитров, рп Некрасовский, ул Некрасова, д. 16А</w:t>
      </w:r>
      <w:bookmarkStart w:id="0" w:name="_Hlk5789095"/>
      <w:bookmarkEnd w:id="0"/>
    </w:p>
    <w:p>
      <w:pPr>
        <w:spacing w:after="0" w:line="240" w:lineRule="auto"/>
        <w:jc w:val="center"/>
        <w:rPr>
          <w:rFonts w:ascii="Arial" w:cs="Arial" w:eastAsia="Times New Roman" w:hAnsi="Arial"/>
          <w:b/>
          <w:sz w:val="28"/>
          <w:szCs w:val="28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</w:rPr>
        <w:t>Форма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проведения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Заочное голосование с использованием системы ЕИАС ЖКХ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Дата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проведения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общего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собрания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/ </w:t>
      </w:r>
      <w:r>
        <w:rPr>
          <w:rFonts w:ascii="Arial" w:cs="Arial" w:eastAsia="Times New Roman" w:hAnsi="Arial"/>
          <w:b/>
          <w:sz w:val="24"/>
          <w:szCs w:val="24"/>
        </w:rPr>
        <w:t>Период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приема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решений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собственников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</w:rPr>
        <w:t>с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«</w:t>
      </w:r>
      <w:r>
        <w:rPr>
          <w:rFonts w:ascii="Arial" w:cs="Arial" w:eastAsia="Times New Roman" w:hAnsi="Arial"/>
          <w:sz w:val="24"/>
          <w:szCs w:val="24"/>
          <w:lang w:val="en-US"/>
        </w:rPr>
        <w:t>12</w:t>
      </w:r>
      <w:r>
        <w:rPr>
          <w:rFonts w:ascii="Arial" w:cs="Arial" w:eastAsia="Times New Roman" w:hAnsi="Arial"/>
          <w:sz w:val="24"/>
          <w:szCs w:val="24"/>
          <w:lang w:val="en-US"/>
        </w:rPr>
        <w:t>»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октября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2022</w:t>
      </w:r>
      <w:r>
        <w:rPr>
          <w:rFonts w:ascii="Arial" w:cs="Arial" w:eastAsia="Times New Roman" w:hAnsi="Arial"/>
          <w:sz w:val="24"/>
          <w:szCs w:val="24"/>
        </w:rPr>
        <w:t>г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«</w:t>
      </w:r>
      <w:r>
        <w:rPr>
          <w:rFonts w:ascii="Arial" w:cs="Arial" w:eastAsia="Times New Roman" w:hAnsi="Arial"/>
          <w:sz w:val="24"/>
          <w:szCs w:val="24"/>
          <w:lang w:val="en-US"/>
        </w:rPr>
        <w:t>10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» </w:t>
      </w:r>
      <w:r>
        <w:rPr>
          <w:rFonts w:ascii="Arial" w:cs="Arial" w:eastAsia="Times New Roman" w:hAnsi="Arial"/>
          <w:sz w:val="24"/>
          <w:szCs w:val="24"/>
          <w:lang w:val="en-US"/>
        </w:rPr>
        <w:t>ноября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val="en-US"/>
        </w:rPr>
        <w:t>2022</w:t>
      </w:r>
      <w:r>
        <w:rPr>
          <w:rFonts w:ascii="Arial" w:cs="Arial" w:eastAsia="Times New Roman" w:hAnsi="Arial"/>
          <w:sz w:val="24"/>
          <w:szCs w:val="24"/>
        </w:rPr>
        <w:t>г</w:t>
      </w:r>
      <w:r>
        <w:rPr>
          <w:rFonts w:ascii="Arial" w:cs="Arial" w:eastAsia="Times New Roman" w:hAnsi="Arial"/>
          <w:sz w:val="24"/>
          <w:szCs w:val="24"/>
          <w:lang w:val="en-US"/>
        </w:rPr>
        <w:t>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 xml:space="preserve">Место проведения общего собрания: </w:t>
      </w:r>
      <w:r>
        <w:rPr>
          <w:rFonts w:ascii="Arial" w:cs="Arial" w:eastAsia="Times New Roman" w:hAnsi="Arial"/>
          <w:sz w:val="24"/>
          <w:szCs w:val="24"/>
        </w:rPr>
        <w:t>Московская область, г Дмитров, рп Некрасовский, ул Некрасова, д. 16А</w:t>
      </w:r>
      <w:r>
        <w:rPr>
          <w:rFonts w:ascii="Arial" w:cs="Arial" w:eastAsia="Times New Roman" w:hAnsi="Arial"/>
          <w:sz w:val="24"/>
          <w:szCs w:val="24"/>
        </w:rPr>
        <w:t>, с использованием</w:t>
      </w:r>
      <w:r>
        <w:rPr>
          <w:rFonts w:ascii="Arial" w:cs="Arial" w:eastAsia="Times New Roman" w:hAnsi="Arial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системы ЕИАС ЖКХ МО (https://dom.mosreg.ru)</w:t>
      </w:r>
    </w:p>
    <w:p>
      <w:pPr>
        <w:shd w:val="clear" w:color="auto" w:fill="ffffff"/>
        <w:spacing w:after="160" w:line="259" w:lineRule="auto"/>
        <w:jc w:val="both"/>
        <w:rPr>
          <w:rFonts w:ascii="Arial" w:cs="Arial" w:eastAsia="Times New Roman" w:hAnsi="Arial"/>
          <w:sz w:val="24"/>
          <w:szCs w:val="24"/>
          <w:lang w:val="en-US" w:eastAsia="ru-RU"/>
        </w:rPr>
      </w:pPr>
      <w:r>
        <w:rPr>
          <w:rFonts w:ascii="Arial" w:cs="Arial" w:eastAsia="Times New Roman" w:hAnsi="Arial"/>
          <w:b/>
          <w:sz w:val="24"/>
          <w:szCs w:val="24"/>
        </w:rPr>
        <w:t>Инициатор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общего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собрания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bdr w:val="none" w:sz="4" w:space="0"/>
          <w:shd w:val="clear" w:color="auto" w:fill="ffffff"/>
          <w:lang w:val="en-US" w:eastAsia="ru-RU"/>
        </w:rPr>
        <w:t>ООО "УК "СВАРОГ" ОГРН 1125047016643 (дата присвоения 05.10.2012) ИНН 5047136373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 xml:space="preserve">Администратор собрания: </w:t>
      </w:r>
      <w:r>
        <w:rPr>
          <w:rFonts w:ascii="Arial" w:cs="Arial" w:eastAsia="Times New Roman" w:hAnsi="Arial"/>
          <w:sz w:val="24"/>
          <w:szCs w:val="24"/>
        </w:rPr>
        <w:t>ООО "УК "СВАРОГ", ОГРН: 1125047016643, uksvarog.info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Место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 xml:space="preserve">хранения протокола и решений собственников помещений: </w:t>
      </w:r>
      <w:r>
        <w:rPr>
          <w:rFonts w:ascii="Arial" w:cs="Arial" w:eastAsia="Times New Roman" w:hAnsi="Arial"/>
          <w:sz w:val="24"/>
          <w:szCs w:val="24"/>
        </w:rPr>
        <w:t xml:space="preserve">система ЕИАС ЖКХ МО, </w:t>
      </w:r>
      <w:r>
        <w:fldChar w:fldCharType="begin"/>
      </w:r>
      <w:r>
        <w:instrText xml:space="preserve">HYPERLINK "https://dom.mosreg.ru" </w:instrText>
      </w:r>
      <w:r>
        <w:fldChar w:fldCharType="separate"/>
      </w:r>
      <w:r>
        <w:rPr>
          <w:rFonts w:ascii="Arial" w:cs="Arial" w:eastAsia="Times New Roman" w:hAnsi="Arial"/>
          <w:color w:val="0000ff" w:themeColor="hyperlink"/>
          <w:sz w:val="24"/>
          <w:u w:val="single"/>
        </w:rPr>
        <w:t>https://dom.mosreg.ru</w:t>
      </w:r>
      <w:r>
        <w:fldChar w:fldCharType="end"/>
      </w:r>
    </w:p>
    <w:p>
      <w:pPr>
        <w:jc w:val="both"/>
        <w:rPr>
          <w:rFonts w:ascii="Arial" w:cs="Arial" w:hAnsi="Arial"/>
        </w:rPr>
      </w:pPr>
      <w:r>
        <w:rPr>
          <w:rFonts w:ascii="Arial" w:cs="Arial" w:hAnsi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Московская область, г Дмитров, рп Некрасовский, ул Некрасова, д. 16А</w:t>
      </w:r>
      <w:r>
        <w:rPr>
          <w:rFonts w:ascii="Arial" w:cs="Arial" w:hAnsi="Arial"/>
          <w:sz w:val="24"/>
          <w:szCs w:val="24"/>
        </w:rPr>
        <w:t xml:space="preserve">,  собственники владеют </w:t>
      </w:r>
      <w:r>
        <w:rPr>
          <w:rFonts w:ascii="Arial" w:cs="Arial" w:hAnsi="Arial"/>
          <w:sz w:val="24"/>
          <w:szCs w:val="24"/>
        </w:rPr>
        <w:t>5304.63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кв.м</w:t>
      </w:r>
      <w:r>
        <w:rPr>
          <w:rFonts w:ascii="Arial" w:cs="Arial" w:hAnsi="Arial"/>
          <w:sz w:val="24"/>
          <w:szCs w:val="24"/>
        </w:rPr>
        <w:t xml:space="preserve">. всех жилых и нежилых помещений в доме, что составляет </w:t>
      </w:r>
      <w:r>
        <w:rPr>
          <w:rFonts w:ascii="Arial" w:cs="Arial" w:hAnsi="Arial"/>
          <w:sz w:val="24"/>
          <w:szCs w:val="24"/>
        </w:rPr>
        <w:t>5304.63</w:t>
      </w:r>
      <w:r>
        <w:rPr>
          <w:rFonts w:ascii="Arial" w:cs="Arial" w:hAnsi="Arial"/>
          <w:sz w:val="24"/>
          <w:szCs w:val="24"/>
        </w:rPr>
        <w:t xml:space="preserve"> голосов (100% голосов собственников).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>
        <w:rPr>
          <w:rFonts w:ascii="Arial" w:cs="Arial" w:eastAsia="Times New Roman" w:hAnsi="Arial"/>
          <w:b/>
          <w:sz w:val="24"/>
          <w:szCs w:val="24"/>
        </w:rPr>
        <w:t>92</w:t>
      </w:r>
      <w:r>
        <w:rPr>
          <w:rFonts w:ascii="Arial" w:cs="Arial" w:eastAsia="Times New Roman" w:hAnsi="Arial"/>
          <w:sz w:val="24"/>
          <w:szCs w:val="24"/>
        </w:rPr>
        <w:t xml:space="preserve"> человек, владеющие </w:t>
      </w:r>
      <w:r>
        <w:rPr>
          <w:rFonts w:ascii="Arial" w:cs="Arial" w:eastAsia="Times New Roman" w:hAnsi="Arial"/>
          <w:b/>
          <w:sz w:val="24"/>
          <w:szCs w:val="24"/>
        </w:rPr>
        <w:t>3918.70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кв.м</w:t>
      </w:r>
      <w:r>
        <w:rPr>
          <w:rFonts w:ascii="Arial" w:cs="Arial" w:eastAsia="Times New Roman" w:hAnsi="Arial"/>
          <w:sz w:val="24"/>
          <w:szCs w:val="24"/>
        </w:rPr>
        <w:t xml:space="preserve">. жилых и нежилых помещений в доме, что составляет 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>73.87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% </w:t>
      </w:r>
      <w:r>
        <w:rPr>
          <w:rFonts w:ascii="Arial" w:cs="Arial" w:eastAsia="Times New Roman" w:hAnsi="Arial"/>
          <w:sz w:val="24"/>
          <w:szCs w:val="24"/>
        </w:rPr>
        <w:t>голосов</w:t>
      </w:r>
      <w:r>
        <w:rPr>
          <w:rFonts w:ascii="Arial" w:cs="Arial" w:eastAsia="Times New Roman" w:hAnsi="Arial"/>
          <w:sz w:val="24"/>
          <w:szCs w:val="24"/>
          <w:lang w:val="en-US"/>
        </w:rPr>
        <w:t>.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bookmarkStart w:id="1" w:name="_Hlk5794540"/>
      <w:r>
        <w:rPr>
          <w:rFonts w:ascii="Arial" w:cs="Arial" w:hAnsi="Arial"/>
          <w:b/>
          <w:sz w:val="24"/>
          <w:szCs w:val="24"/>
        </w:rPr>
        <w:t>Кворум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>имеется</w:t>
      </w:r>
      <w:r>
        <w:rPr>
          <w:rFonts w:ascii="Arial" w:cs="Arial" w:hAnsi="Arial"/>
          <w:b/>
          <w:sz w:val="24"/>
          <w:szCs w:val="24"/>
          <w:lang w:val="en-US"/>
        </w:rPr>
        <w:t>.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</w:rPr>
        <w:t>Повестка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общего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собрания</w:t>
      </w:r>
      <w:r>
        <w:rPr>
          <w:rFonts w:ascii="Arial" w:cs="Arial" w:eastAsia="Times New Roman" w:hAnsi="Arial"/>
          <w:b/>
          <w:sz w:val="24"/>
          <w:szCs w:val="24"/>
          <w:lang w:val="en-US"/>
        </w:rPr>
        <w:t>: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3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4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5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6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Выбор способа формирования фонда капитального ремонта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7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Выбор лица, уполномоченного на открытие специального счета в российской кредитной организации (определение владельца специального счета в соответствии с пунктом 4 части 4 статьи 170 ЖК РФ)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8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Определение размера ежемесячного взноса на капитальный ремонт (в размере минимального, установленного нормативным правовым актом субъекта Российской Федерации, согласно части 4.1 статьи 170 ЖК РФ, либо с превышением минимального, в соответствии с частью 4.2 статьи 170 ЖК РФ)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9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Выбор лица, уполномоченного на оказание услуг по представлению платежных документов, в том числе с использованием системы, в отношении специального счета в соответствии с частью 3.1 статьи 175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10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Совершение операций с денежными средствами, находящимися на специальном счете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11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Определение иного срока действия полномочий Совета многоквартирного дома, отличного от установленного частью 10 статьи 161.1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12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13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14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Заключение договоров на эксплуатацию рекламных конструкций, если для их эксплуатации предполагается использовать общее имущество собственников помещений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15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Установка дополнительных технических элементов на общем имуществе многоквартирного дома (систем видеонаблюдения, сигнализации, контроля и разграничения доступа, датчиков и средств измерения, балансировки нагрузки систем ресурсоснабжения, энергосервисных и энергосберегающих компонентов)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16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17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Наделение председателя совета многоквартирного дома полномочиями на принятие решений по вопросам, не указанным в части 5 статьи 161.1 настоящего Кодекса, за исключением полномочий, отнесенных к компетенции общего собрания собственников помещений в многоквартирном доме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18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Наделение избранного совета многоквартирного дома дополнительными полномочиями, не включенными в явной форме в часть 5 статьи 161.1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19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Пользование общим имуществом собственников помещений в многоквартирном доме иными лицами, в том числе заключение договоров на установку и эксплуатацию рекламных конструкций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20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Наделение избранного совета многоквартирного дома дополнительными полномочиями, не включенными в явной форме в часть 5 статьи 161.1 ЖК РФ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21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lang w:val="en-US"/>
        </w:rPr>
        <w:t>Заключение собственниками помещений в МКД, действующими от своего имени, договора, содержащего положения о предоставлении коммунальных услуг:</w:t>
      </w:r>
      <w:r>
        <w:rPr>
          <w:rFonts w:ascii="Arial" w:cs="Arial" w:eastAsia="Times New Roman" w:hAnsi="Arial"/>
          <w:sz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lang w:val="en-US"/>
        </w:rPr>
        <w:t>- договора на оказание услуг по обращению с ТКО;</w:t>
      </w:r>
      <w:r>
        <w:rPr>
          <w:rFonts w:ascii="Arial" w:cs="Arial" w:eastAsia="Times New Roman" w:hAnsi="Arial"/>
          <w:sz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lang w:val="en-US"/>
        </w:rPr>
        <w:t>- договора на оказание услуг горячего водоснабжения и отопления;</w:t>
      </w:r>
      <w:r>
        <w:rPr>
          <w:rFonts w:ascii="Arial" w:cs="Arial" w:eastAsia="Times New Roman" w:hAnsi="Arial"/>
          <w:sz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lang w:val="en-US"/>
        </w:rPr>
        <w:t>- договора на оказание услуг холодного водоснабжения и водоотведения;</w:t>
      </w:r>
      <w:r>
        <w:rPr>
          <w:rFonts w:ascii="Arial" w:cs="Arial" w:eastAsia="Times New Roman" w:hAnsi="Arial"/>
          <w:sz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lang w:val="en-US"/>
        </w:rPr>
        <w:t>- договора на оказание услуг поставки эл.энергии;</w:t>
      </w:r>
      <w:r>
        <w:rPr>
          <w:rFonts w:ascii="Arial" w:cs="Arial" w:eastAsia="Times New Roman" w:hAnsi="Arial"/>
          <w:sz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Инициатор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Результаты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голосования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по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вопросам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повестки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Использовать ЕИАС ЖКХ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3682,20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93,96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69,41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93,70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1,77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142,80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2,69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ООО "УК "СВАРОГ", ОГРН: 1125047016643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3752,50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95,76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70,74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58,90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1,11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107,30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2,02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3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Продолжительность голосования по вопросам повестки дня общего собрания  собственников помещений в МКД в форме заочного голосования с использованием системы ЕИАС ЖКХ – 30 календарных  дней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3918,70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73,87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4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 адресу: 141685, Московская область, г.Дмитров, р.п. Некрасовский, ул. Некрасова, д. 16А  офис 5. По будням с 10 час. 00 мин.  до 17 час. 00 мин.  При предъявлении документа, удостоверяющего личность (паспорта) нарочно или заказным письмом с описью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3749,60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95,68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70,69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169,10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4,32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3,19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5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 адресу: 141685, Московская область, г.Дмитров, р.п. Некрасовский, ул. Некрасова, д. 16А  офис 5. По будням с 10 час. 00 мин.  до 17 час. 00 мин.  При предъявлении документа, удостоверяющего личность (паспорта) или заказным письмом с описью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3749,60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95,68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70,69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169,10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4,32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3,19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6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Выбор способа формирования фонда капитального ремонта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Специальный счет - Управляющая компания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3725,60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95,07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70,23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155,60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2,93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0,71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7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Выбор лица, уполномоченного на открытие специального счета в российской кредитной организации (определение владельца специального счета в соответствии с пунктом 4 части 4 статьи 170 ЖК РФ)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Уполномочить Генерального директора ООО «УК «Сварог» Шеньшакова А.В. на открытие специального счета для перечисления взносов на капитальный ремонт – в отделении ПАО "Сбербанк", в течении одного календарного месяца со дня включения МКД в региональную программу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3784,50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96,58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71,34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96,70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1,82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0,71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8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размера ежемесячного взноса на капитальный ремонт (в размере минимального, установленного нормативным правовым актом субъекта Российской Федерации, согласно части 4.1 статьи 170 ЖК РФ, либо с превышением минимального, в соответствии с частью 4.2 статьи 170 ЖК РФ)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Установить размер ежемесячного взноса, с момента включения в программу капитального ремонта. который должен быть не более минимального размера взноса, установленного  Правительством Московской области, на календарный год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3859,80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72,76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58,90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1,11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9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Выбор лица, уполномоченного на оказание услуг по представлению платежных документов, в том числе с использованием системы, в отношении специального счета в соответствии с частью 3.1 статьи 175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Оплата взносов на капитальный ремонт общего имущества МКД вносится собственниками на основании платёжных документов выставляемых ООО «УК «Сварог» по истечении срока, установленного законом субъекта Российской Федерации, составляющего не менее трех и не более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 многоквартирный дом, расположенный по адресу: Московская область, г.Дмитров, р.п. Некрасовский, ул. Некрасова, д. 16А (ч.3 ст. 169 ЖК РФ)»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739" w:hRule="atLeast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3846,00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72,5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72,70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1,37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10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Совершение операций с денежными средствами, находящимися на специальном счете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Накопленные средства на специальном счете могут быть использованы, только после проведения общего собрания собственников много квартирного дома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3918,70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73,87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11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иного срока действия полномочий Совета многоквартирного дома, отличного от установленного частью 10 статьи 161.1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Продлить полномочия Совета дома и Председателя, утвержденные протоколом № 1 от 29.01.2020г. на срок 3 года.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Председатель Совета дома - Бирюкова наталья Владимировна (собственник кв. №45)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Совет дома: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Бирюкова Наталья Владимировна (кв.№45);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Камбаров Роман Николаевич (кв.№84);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Никоряков Виктор Владимирович (кв. №39)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3811,40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97,26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71,85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36,80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0,69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70,50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1,33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12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Уполномочить совет дома и его Председателя принимать решения о текущем ремонте МКД. Согласовывать, дополнять, изменять  и подписывать планы текущего ремонта МКД, подписывать акты выполненных работ, согласовывать подрядчиков, принимать отчеты УК "Сварог" о выполнении текущего ремонта МКД по адресу: Московская область, г.Дмитров, р.п. Некрасовский, ул. Некрасова, д. 16А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3883,10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99,09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73,2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35,60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0,67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13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Утвердить прилагаемые формы (Приложение №1):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 Форма «План работ по текущему ремонту общего имущества МКД»;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Форма «Отчет о выполнении работ по текущему ремонту общего имущества МКД»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3883,80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99,11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73,22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0,66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14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Заключение договоров на эксплуатацию рекламных конструкций, если для их эксплуатации предполагается использовать общее имущество собственников помещений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Обязать УК "Сварог" предоставить Председателю МКД информацию по заключенным договорам аренды по использованию и распоряжению общим имуществом собственников МКД (телекоммуникационное оборудование, интернет оборудование провайдеров, рекламные конструкции на фасаде дома, иные при наличии), в срок не позднее 5 календарных дней с момента подведения итогов голосования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3789,70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96,71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71,44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58,90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1,11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70,10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1,32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15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Установка дополнительных технических элементов на общем имуществе многоквартирного дома (систем видеонаблюдения, сигнализации, контроля и разграничения доступа, датчиков и средств измерения, балансировки нагрузки систем ресурсоснабжения, энергосервисных и энергосберегающих компонентов)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Включить в состав общего имущества собственников МКД по адресу: Московская область, г.Дмитров, р.п. Некрасовский, ул. Некрасова, д. 16А систему видеонаблюдения, установленную по периметру МКД по адресу: Московская область, г.Дмитров, р.п. Некрасовский, ул. Некрасова, д. 16А с обслуживанием данной системы за счет собственников помещений вне рамок установленного тарифа за содержание общего имущества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3150,60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59,39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695,40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17,75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13,11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72,70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1,86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1,37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16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Уполномочить УК "Сварог" заключать договора по размещению оборудования и сдачи в аренду  общего имущества собственников МКД по адресу: Московская область, г.Дмитров, р.п. Некрасовский, ул. Некрасова, д. 16А, после согласования этих договоров  Председателем Совета дома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3677,30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69,32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34,60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0,65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206,80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3,9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17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Наделение председателя совета многоквартирного дома полномочиями на принятие решений по вопросам, не указанным в части 5 статьи 161.1 настоящего Кодекса, за исключением полномочий, отнесенных к компетенции общего собрания собственников помещений в многоквартирном доме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Уполномочить Председателя Совета дома на согласование условий по размещению оборудования и сдачи в аренду  общего имущества МКД по адресу: Московская область, г.Дмитров, р.п. Некрасовский, ул. Некрасова, д. 16А, с любым заинтересованным лицом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3187,80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81,35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60,09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653,50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16,68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12,32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77,40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1,46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18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Наделение избранного совета многоквартирного дома дополнительными полномочиями, не включенными в явной форме в часть 5 статьи 161.1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Уполномочить Председателя Совета дома провести работу по юридическому оформлению присутствия арендаторов в многоквартирном доме в соответствии с требованиями Жилищного кодекса РФ, после исполнения п.14 УК "Сварог"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3058,70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78,05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57,66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714,30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18,23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13,47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145,70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3,72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2,75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19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Пользование общим имуществом собственников помещений в многоквартирном доме иными лицами, в том числе заключение договоров на установку и эксплуатацию рекламных конструкций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Утвердить тарифы на размещение рекламных конструкций, размещение оборудования и аренду общего имущества МКД по адресу: Московская область, г.Дмитров, р.п. Некрасовский, ул. Некрасова, д. 16А (Приложение №2)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3113,00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79,44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58,68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658,60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16,81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12,42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147,10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2,77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20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Наделение избранного совета многоквартирного дома дополнительными полномочиями, не включенными в явной форме в часть 5 статьи 161.1 ЖК РФ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Денежные средства от сдачи в аренду общего имущества собственников МКД  по адресу: Московская область, г.Дмитров, р.п. Некрасовский, ул. Некрасова, д. 16А, определить на самофинансирование дома по адресу Московская область, г.Дмитров, р.п. Некрасовский, ул. Некрасова, д. 16А, расходование осуществляется советом дома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3109,20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79,34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58,61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618,70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15,79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11,66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190,80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4,87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3,6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не принято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  <w:lang w:val="en-US"/>
        </w:rPr>
        <w:t>21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. </w:t>
      </w:r>
      <w:r>
        <w:rPr>
          <w:rFonts w:ascii="Arial" w:cs="Arial" w:eastAsia="Times New Roman" w:hAnsi="Arial"/>
          <w:sz w:val="24"/>
          <w:szCs w:val="24"/>
        </w:rPr>
        <w:t>По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вопросу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Заключение собственниками помещений в МКД, действующими от своего имени, договора, содержащего положения о предоставлении коммунальных услуг: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договора на оказание услуг по обращению с ТКО;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договора на оказание услуг горячего водоснабжения и отопления;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договора на оказание услуг холодного водоснабжения и водоотведения;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договора на оказание услуг поставки эл.энергии;</w:t>
      </w:r>
    </w:p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  <w:r>
        <w:rPr>
          <w:rFonts w:ascii="Arial" w:cs="Arial" w:eastAsia="Times New Roman" w:hAnsi="Arial"/>
          <w:sz w:val="24"/>
          <w:szCs w:val="24"/>
        </w:rPr>
        <w:t>Предложили</w:t>
      </w:r>
      <w:r>
        <w:rPr>
          <w:rFonts w:ascii="Arial" w:cs="Arial" w:eastAsia="Times New Roman" w:hAnsi="Arial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sz w:val="24"/>
          <w:szCs w:val="24"/>
          <w:lang w:val="en-US"/>
        </w:rPr>
        <w:t>Заключение собственниками помещений МКД, прямых договоров с ресурсоснабжающими организациями, содержащих положения о предоставлении коммунальных услуг: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холодное водоснабжение и водоотведение   с  МУП «Некрасовский водоканал»;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горячее водоснабжение и отопление с МУП «ДУ ЖКХ»;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электрическая энергия с АО «Мосэнергосбыт»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- вывоз ТКО с ООО «Сергиево-Посадский региональный оператор»  (п.1 ч.1 ст. 157.2 ЖК РФ)</w:t>
      </w:r>
      <w:r>
        <w:rPr>
          <w:rFonts w:ascii="Arial" w:cs="Arial" w:eastAsia="Times New Roman" w:hAnsi="Arial"/>
          <w:sz w:val="24"/>
          <w:szCs w:val="24"/>
          <w:lang w:val="en-US"/>
        </w:rPr>
        <w:br w:type="textWrapping"/>
      </w:r>
      <w:r>
        <w:rPr>
          <w:rFonts w:ascii="Arial" w:cs="Arial" w:eastAsia="Times New Roman" w:hAnsi="Arial"/>
          <w:sz w:val="24"/>
          <w:szCs w:val="24"/>
          <w:lang w:val="en-US"/>
        </w:rPr>
        <w:t>Определение даты заключения прямых договоров с РСО по указанным  коммунальным услугам - с 01.01.2023 г</w:t>
      </w:r>
    </w:p>
    <w:p>
      <w:pPr>
        <w:spacing w:after="240" w:line="240" w:lineRule="auto"/>
        <w:jc w:val="center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3"/>
        <w:gridCol w:w="992"/>
        <w:gridCol w:w="991"/>
        <w:gridCol w:w="1134"/>
        <w:gridCol w:w="943"/>
        <w:gridCol w:w="1039"/>
        <w:gridCol w:w="1133"/>
        <w:gridCol w:w="944"/>
        <w:gridCol w:w="1039"/>
      </w:tblGrid>
      <w:tr>
        <w:trPr>
          <w:trHeight w:val="246"/>
        </w:trPr>
        <w:tc>
          <w:tcPr>
            <w:cnfStyle w:val="101000000000"/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cnfStyle w:val="100000000000"/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>
        <w:trPr>
          <w:trHeight w:val="952"/>
        </w:trPr>
        <w:tc>
          <w:tcPr>
            <w:cnfStyle w:val="001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cnfStyle w:val="00000010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cnfStyle w:val="00000010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>
        <w:trPr>
          <w:trHeight w:val="1255"/>
        </w:trPr>
        <w:tc>
          <w:tcPr>
            <w:cnfStyle w:val="001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2817,30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71,89</w:t>
            </w:r>
          </w:p>
        </w:tc>
        <w:tc>
          <w:tcPr>
            <w:cnfStyle w:val="000000010000"/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53,11</w:t>
            </w:r>
          </w:p>
        </w:tc>
        <w:tc>
          <w:tcPr>
            <w:cnfStyle w:val="000000010000"/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552,70</w:t>
            </w:r>
          </w:p>
        </w:tc>
        <w:tc>
          <w:tcPr>
            <w:cnfStyle w:val="000000010000"/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10,42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548,70</w:t>
            </w:r>
          </w:p>
        </w:tc>
        <w:tc>
          <w:tcPr>
            <w:cnfStyle w:val="000000010000"/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cnfStyle w:val="000000010000"/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10,34</w:t>
            </w:r>
          </w:p>
        </w:tc>
      </w:tr>
    </w:tbl>
    <w:p>
      <w:pPr>
        <w:spacing w:after="240" w:line="240" w:lineRule="auto"/>
        <w:jc w:val="both"/>
        <w:rPr>
          <w:rFonts w:ascii="Arial" w:cs="Arial" w:eastAsia="Times New Roman" w:hAnsi="Arial"/>
          <w:sz w:val="24"/>
          <w:szCs w:val="24"/>
          <w:lang w:val="en-US"/>
        </w:rPr>
      </w:pPr>
    </w:p>
    <w:p>
      <w:pPr>
        <w:spacing w:after="240" w:line="240" w:lineRule="auto"/>
        <w:jc w:val="both"/>
        <w:rPr>
          <w:rFonts w:ascii="Arial" w:cs="Arial" w:eastAsia="Times New Roman" w:hAnsi="Arial"/>
          <w:b/>
          <w:sz w:val="24"/>
          <w:szCs w:val="24"/>
          <w:lang w:val="en-US"/>
        </w:rPr>
      </w:pPr>
      <w:r>
        <w:rPr>
          <w:rFonts w:ascii="Arial" w:cs="Arial" w:eastAsia="Times New Roman" w:hAnsi="Arial"/>
          <w:b/>
          <w:sz w:val="24"/>
          <w:szCs w:val="24"/>
          <w:lang w:val="en-US"/>
        </w:rPr>
        <w:t>Решение принято</w:t>
      </w:r>
    </w:p>
    <w:p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 xml:space="preserve">Ознакомиться с приложениями к Протоколу № </w:t>
      </w:r>
      <w:r>
        <w:rPr>
          <w:rFonts w:ascii="Arial" w:cs="Arial" w:eastAsia="Times New Roman" w:hAnsi="Arial"/>
          <w:sz w:val="24"/>
          <w:szCs w:val="24"/>
        </w:rPr>
        <w:t>2Э/2022</w:t>
      </w:r>
      <w:r>
        <w:rPr>
          <w:rFonts w:ascii="Arial" w:cs="Arial" w:eastAsia="Times New Roman" w:hAnsi="Arial"/>
          <w:sz w:val="24"/>
          <w:szCs w:val="24"/>
        </w:rPr>
        <w:t xml:space="preserve"> от </w:t>
      </w:r>
      <w:r>
        <w:rPr>
          <w:rFonts w:ascii="Arial" w:cs="Arial" w:eastAsia="Times New Roman" w:hAnsi="Arial"/>
          <w:sz w:val="24"/>
          <w:szCs w:val="24"/>
        </w:rPr>
        <w:t>10.11.2022</w:t>
      </w:r>
      <w:r>
        <w:rPr>
          <w:rFonts w:ascii="Arial" w:cs="Arial" w:eastAsia="Times New Roman" w:hAnsi="Arial"/>
          <w:sz w:val="24"/>
          <w:szCs w:val="24"/>
        </w:rPr>
        <w:t>г.: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реестром собственников помещений в многоквартирном доме;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сообщением о проведении общего собрания;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>
      <w:pPr>
        <w:pStyle w:val="ListParagraph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решениями собственников помещений в многоквартирном доме</w:t>
      </w:r>
    </w:p>
    <w:p>
      <w:pPr>
        <w:spacing w:after="0" w:line="240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 xml:space="preserve">можно </w:t>
      </w:r>
      <w:r>
        <w:rPr>
          <w:rFonts w:ascii="Arial" w:cs="Arial" w:eastAsia="Times New Roman" w:hAnsi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>
        <w:rPr>
          <w:rFonts w:ascii="Arial" w:cs="Arial" w:eastAsia="Times New Roman" w:hAnsi="Arial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Arial" w:cs="Arial" w:eastAsia="Times New Roman" w:hAnsi="Arial"/>
          <w:sz w:val="18"/>
          <w:szCs w:val="18"/>
        </w:rPr>
      </w:pPr>
    </w:p>
    <w:p/>
    <w:sectPr>
      <w:footerReference w:type="default" r:id="rId14"/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center"/>
      <w:rPr>
        <w:rFonts w:ascii="Arial" w:cs="Arial" w:hAnsi="Arial"/>
        <w:color w:val="333333"/>
        <w:sz w:val="16"/>
        <w:szCs w:val="16"/>
        <w:shd w:val="clear" w:color="auto" w:fill="ffffff"/>
      </w:rPr>
    </w:pPr>
    <w:r>
      <w:rPr>
        <w:rFonts w:ascii="Arial" w:cs="Arial" w:hAnsi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>
    <w:pPr>
      <w:pStyle w:val="Footer"/>
      <w:jc w:val="center"/>
      <w:rPr>
        <w:rFonts w:ascii="Arial" w:cs="Arial" w:hAnsi="Arial"/>
        <w:color w:val="333333"/>
        <w:sz w:val="16"/>
        <w:szCs w:val="16"/>
        <w:shd w:val="clear" w:color="auto" w:fill="ffffff"/>
      </w:rPr>
    </w:pPr>
    <w:r>
      <w:rPr>
        <w:rFonts w:ascii="Arial" w:cs="Arial" w:hAnsi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>
    <w:pPr>
      <w:pStyle w:val="Footer"/>
      <w:jc w:val="center"/>
      <w:rPr>
        <w:sz w:val="16"/>
        <w:szCs w:val="16"/>
      </w:rPr>
    </w:pPr>
    <w:r>
      <w:rPr>
        <w:rFonts w:ascii="Arial" w:cs="Arial" w:hAnsi="Arial"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eastAsia="Times New Roman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on"/>
    <w:pPr>
      <w:spacing w:after="0" w:line="240" w:lineRule="auto"/>
      <w:ind w:left="720"/>
      <w:contextualSpacing w:val="on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Heading1">
    <w:name w:val="Heading 1"/>
    <w:uiPriority w:val="9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uiPriority w:val="9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2" Type="http://schemas.openxmlformats.org/officeDocument/2006/relationships/footer" Target="footer1.xml"/><Relationship Id="rId13" Type="http://schemas.openxmlformats.org/officeDocument/2006/relationships/footer" Target="footer1.xml"/><Relationship Id="rId14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oter" Target="footer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https://dom.mosreg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Author</cp:lastModifiedBy>
</cp:coreProperties>
</file>