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Решение собственника при голосовании на внеочередном общем собрании собственников помещений в многоквартирном доме, расположенном по адресу: Республика Крым, город Симферополь,                                     улица Святителя Гурия, д.1</w:t>
      </w:r>
    </w:p>
    <w:p>
      <w:pPr>
        <w:pStyle w:val="Normal"/>
        <w:spacing w:before="120" w:after="120"/>
        <w:rPr>
          <w:rFonts w:ascii="Times New Roman" w:hAnsi="Times New Roman" w:eastAsia="Calibri" w:cs="Times New Roman"/>
          <w:sz w:val="21"/>
          <w:szCs w:val="21"/>
          <w:lang w:bidi="ar-SA"/>
        </w:rPr>
      </w:pPr>
      <w:r>
        <w:rPr>
          <w:rFonts w:eastAsia="Calibri" w:cs="Times New Roman" w:ascii="Times New Roman" w:hAnsi="Times New Roman"/>
          <w:sz w:val="21"/>
          <w:szCs w:val="21"/>
          <w:lang w:bidi="ar-SA"/>
        </w:rPr>
        <w:t>г. Симферополь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«____»___________2026 г.</w:t>
      </w:r>
    </w:p>
    <w:p>
      <w:pPr>
        <w:pStyle w:val="Normal"/>
        <w:rPr/>
      </w:pPr>
      <w:r>
        <w:rPr>
          <w:rFonts w:cs="Times New Roman" w:ascii="Times New Roman" w:hAnsi="Times New Roman"/>
          <w:sz w:val="21"/>
          <w:szCs w:val="21"/>
        </w:rPr>
        <w:t xml:space="preserve">Форма проведения собрания – </w:t>
      </w:r>
      <w:r>
        <w:rPr>
          <w:rFonts w:cs="Times New Roman" w:ascii="Times New Roman" w:hAnsi="Times New Roman"/>
          <w:b/>
          <w:bCs/>
          <w:iCs/>
          <w:sz w:val="21"/>
          <w:szCs w:val="21"/>
        </w:rPr>
        <w:t>ОЧНО-</w:t>
      </w:r>
      <w:r>
        <w:rPr>
          <w:rFonts w:cs="Times New Roman" w:ascii="Times New Roman" w:hAnsi="Times New Roman"/>
          <w:b/>
          <w:iCs/>
          <w:sz w:val="21"/>
          <w:szCs w:val="21"/>
        </w:rPr>
        <w:t>ЗАОЧНОЕ ГОЛОСОВАНИЕ</w:t>
      </w:r>
      <w:r>
        <w:rPr>
          <w:rFonts w:cs="Times New Roman" w:ascii="Times New Roman" w:hAnsi="Times New Roman"/>
          <w:iCs/>
          <w:sz w:val="21"/>
          <w:szCs w:val="21"/>
        </w:rPr>
        <w:t>.</w:t>
      </w:r>
    </w:p>
    <w:p>
      <w:pPr>
        <w:pStyle w:val="Normal"/>
        <w:rPr/>
      </w:pPr>
      <w:r>
        <w:rPr>
          <w:rFonts w:cs="Times New Roman" w:ascii="Times New Roman" w:hAnsi="Times New Roman"/>
          <w:iCs/>
          <w:sz w:val="21"/>
          <w:szCs w:val="21"/>
        </w:rPr>
        <w:t xml:space="preserve">Участники общего собрания – собственники помещений в многоквартирном доме по адресу: </w:t>
      </w:r>
      <w:r>
        <w:rPr>
          <w:rFonts w:cs="Times New Roman" w:ascii="Times New Roman" w:hAnsi="Times New Roman"/>
          <w:b/>
          <w:iCs/>
          <w:sz w:val="21"/>
          <w:szCs w:val="21"/>
        </w:rPr>
        <w:t>Республика Крым, город Симферополь,</w:t>
      </w:r>
      <w:r>
        <w:rPr>
          <w:rFonts w:cs="Times New Roman" w:ascii="Times New Roman" w:hAnsi="Times New Roman"/>
          <w:iCs/>
          <w:sz w:val="21"/>
          <w:szCs w:val="21"/>
        </w:rPr>
        <w:t xml:space="preserve"> </w:t>
      </w:r>
      <w:r>
        <w:rPr>
          <w:rFonts w:cs="Times New Roman" w:ascii="Times New Roman" w:hAnsi="Times New Roman"/>
          <w:b/>
          <w:iCs/>
          <w:sz w:val="21"/>
          <w:szCs w:val="21"/>
        </w:rPr>
        <w:t>улица Святителя Гурия, д.1</w:t>
      </w:r>
    </w:p>
    <w:p>
      <w:pPr>
        <w:pStyle w:val="Normal"/>
        <w:rPr/>
      </w:pPr>
      <w:r>
        <w:rPr>
          <w:rFonts w:cs="Times New Roman" w:ascii="Times New Roman" w:hAnsi="Times New Roman"/>
          <w:iCs/>
          <w:sz w:val="21"/>
          <w:szCs w:val="21"/>
        </w:rPr>
        <w:t xml:space="preserve">Период проведения общего собрания – </w:t>
      </w:r>
      <w:r>
        <w:rPr>
          <w:rFonts w:cs="Times New Roman" w:ascii="Times New Roman" w:hAnsi="Times New Roman"/>
          <w:b/>
          <w:bCs/>
          <w:iCs/>
          <w:sz w:val="21"/>
          <w:szCs w:val="21"/>
        </w:rPr>
        <w:t xml:space="preserve"> </w:t>
      </w:r>
      <w:r>
        <w:rPr>
          <w:rFonts w:cs="Times New Roman" w:ascii="Times New Roman" w:hAnsi="Times New Roman"/>
          <w:b/>
          <w:bCs/>
          <w:iCs/>
          <w:color w:val="000000"/>
          <w:sz w:val="21"/>
          <w:szCs w:val="21"/>
          <w:u w:val="single"/>
        </w:rPr>
        <w:t xml:space="preserve">с 17 июня  2026 года  18:00 по 17 августа 2026 </w:t>
      </w:r>
      <w:r>
        <w:rPr>
          <w:rFonts w:eastAsia="Times New Roman" w:cs="Times New Roman" w:ascii="Times New Roman" w:hAnsi="Times New Roman"/>
          <w:b/>
          <w:bCs/>
          <w:iCs/>
          <w:color w:val="000000"/>
          <w:sz w:val="21"/>
          <w:szCs w:val="21"/>
          <w:u w:val="single"/>
        </w:rPr>
        <w:t>года</w:t>
      </w:r>
      <w:r>
        <w:rPr>
          <w:rFonts w:cs="Times New Roman" w:ascii="Times New Roman" w:hAnsi="Times New Roman"/>
          <w:b/>
          <w:bCs/>
          <w:iCs/>
          <w:color w:val="000000"/>
          <w:sz w:val="21"/>
          <w:szCs w:val="21"/>
          <w:u w:val="single"/>
        </w:rPr>
        <w:t xml:space="preserve"> до 17:0</w:t>
      </w:r>
      <w:r>
        <w:rPr>
          <w:rFonts w:cs="Times New Roman" w:ascii="Times New Roman" w:hAnsi="Times New Roman"/>
          <w:b/>
          <w:bCs/>
          <w:iCs/>
          <w:color w:val="000000"/>
          <w:sz w:val="21"/>
          <w:szCs w:val="21"/>
        </w:rPr>
        <w:t xml:space="preserve">0 </w:t>
      </w:r>
    </w:p>
    <w:p>
      <w:pPr>
        <w:pStyle w:val="Normal"/>
        <w:rPr>
          <w:rFonts w:ascii="Times New Roman" w:hAnsi="Times New Roman" w:cs="Times New Roman"/>
          <w:b/>
          <w:b/>
          <w:iCs/>
          <w:sz w:val="21"/>
          <w:szCs w:val="21"/>
        </w:rPr>
      </w:pPr>
      <w:r>
        <w:rPr>
          <w:rFonts w:cs="Times New Roman" w:ascii="Times New Roman" w:hAnsi="Times New Roman"/>
          <w:b/>
          <w:iCs/>
          <w:sz w:val="21"/>
          <w:szCs w:val="21"/>
        </w:rPr>
        <w:t xml:space="preserve">Сведения о собственнике (представителе собственника по доверенности) помещения, </w:t>
      </w:r>
    </w:p>
    <w:p>
      <w:pPr>
        <w:pStyle w:val="Normal"/>
        <w:rPr/>
      </w:pPr>
      <w:r>
        <w:rPr>
          <w:rFonts w:cs="Times New Roman" w:ascii="Times New Roman" w:hAnsi="Times New Roman"/>
          <w:iCs/>
          <w:sz w:val="21"/>
          <w:szCs w:val="21"/>
        </w:rPr>
        <w:t>в соответствии с Приказом Министерства Строительства ЖКХ РФ №79/пр</w:t>
      </w:r>
      <w:bookmarkStart w:id="0" w:name="_GoBack"/>
      <w:bookmarkEnd w:id="0"/>
      <w:r>
        <w:rPr>
          <w:rFonts w:cs="Times New Roman" w:ascii="Times New Roman" w:hAnsi="Times New Roman"/>
          <w:iCs/>
          <w:sz w:val="21"/>
          <w:szCs w:val="21"/>
        </w:rPr>
        <w:t xml:space="preserve"> от 07.02.2024 г.: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  <w:t>Ф.И.</w:t>
      </w:r>
      <w:r>
        <w:rPr>
          <w:rFonts w:cs="Times New Roman" w:ascii="Times New Roman" w:hAnsi="Times New Roman"/>
          <w:b/>
          <w:iCs/>
          <w:sz w:val="21"/>
          <w:szCs w:val="21"/>
        </w:rPr>
        <w:t>О.</w:t>
      </w:r>
      <w:r>
        <w:rPr>
          <w:rFonts w:cs="Times New Roman" w:ascii="Times New Roman" w:hAnsi="Times New Roman"/>
          <w:iCs/>
          <w:color w:val="000000"/>
          <w:sz w:val="21"/>
          <w:szCs w:val="21"/>
          <w:highlight w:val="white"/>
        </w:rPr>
        <w:t>_____________________________________________________________________________________________</w:t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  <w:t>СНИЛС: ____________________________________________</w:t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  <w:u w:val="singl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  <w:u w:val="single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  <w:t>Паспорт: серия ___________ №________________ кем выдан, дата:_______________________________________</w:t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</w:r>
    </w:p>
    <w:p>
      <w:pPr>
        <w:pStyle w:val="Normal"/>
        <w:rPr>
          <w:rFonts w:ascii="Times New Roman" w:hAnsi="Times New Roman" w:cs="Times New Roman"/>
          <w:b/>
          <w:b/>
          <w:color w:val="000000"/>
          <w:sz w:val="21"/>
          <w:szCs w:val="21"/>
          <w:highlight w:val="white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  <w:highlight w:val="white"/>
        </w:rPr>
        <w:t>___________________________________________________________________________________________________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Сведения о помещении: (в таблице необходимо подчеркнуть нужный вариант либо заполнить недостающие сведения)</w:t>
      </w:r>
    </w:p>
    <w:tbl>
      <w:tblPr>
        <w:tblW w:w="10330" w:type="dxa"/>
        <w:jc w:val="left"/>
        <w:tblInd w:w="-88" w:type="dxa"/>
        <w:tblCellMar>
          <w:top w:w="0" w:type="dxa"/>
          <w:left w:w="83" w:type="dxa"/>
          <w:bottom w:w="0" w:type="dxa"/>
          <w:right w:w="108" w:type="dxa"/>
        </w:tblCellMar>
      </w:tblPr>
      <w:tblGrid>
        <w:gridCol w:w="1618"/>
        <w:gridCol w:w="1357"/>
        <w:gridCol w:w="1289"/>
        <w:gridCol w:w="1518"/>
        <w:gridCol w:w="4548"/>
      </w:tblGrid>
      <w:tr>
        <w:trPr>
          <w:trHeight w:val="769" w:hRule="atLeast"/>
        </w:trPr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1"/>
                <w:szCs w:val="21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1"/>
                <w:szCs w:val="21"/>
                <w:lang w:bidi="ar-SA"/>
              </w:rPr>
              <w:t>Вид помещения (подчеркнуть)</w:t>
            </w:r>
          </w:p>
        </w:tc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iCs/>
                <w:sz w:val="21"/>
                <w:szCs w:val="21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sz w:val="21"/>
                <w:szCs w:val="21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iCs/>
                <w:sz w:val="21"/>
                <w:szCs w:val="21"/>
              </w:rPr>
              <w:t>помещения (квартиры)</w:t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1"/>
                <w:szCs w:val="21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1"/>
                <w:szCs w:val="21"/>
                <w:lang w:bidi="ar-SA"/>
              </w:rPr>
              <w:t>Площадь помещения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iCs/>
                <w:sz w:val="21"/>
                <w:szCs w:val="21"/>
              </w:rPr>
              <w:t>Доля собственника помещения  в %</w:t>
            </w:r>
            <w:r>
              <w:rPr>
                <w:rFonts w:cs="Times New Roman" w:ascii="Times New Roman" w:hAnsi="Times New Roman"/>
                <w:b/>
                <w:iCs/>
                <w:color w:val="000000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4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1"/>
                <w:szCs w:val="21"/>
                <w:lang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1"/>
                <w:szCs w:val="21"/>
                <w:lang w:bidi="ar-SA"/>
              </w:rPr>
              <w:t>Реквизиты документ подтверждающего правообладание помещения</w:t>
            </w:r>
          </w:p>
        </w:tc>
      </w:tr>
      <w:tr>
        <w:trPr>
          <w:trHeight w:val="673" w:hRule="atLeast"/>
        </w:trPr>
        <w:tc>
          <w:tcPr>
            <w:tcW w:w="1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1"/>
                <w:szCs w:val="21"/>
                <w:lang w:bidi="ar-SA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  <w:lang w:bidi="ar-SA"/>
              </w:rPr>
              <w:t>Жилое</w:t>
            </w:r>
          </w:p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sz w:val="21"/>
                <w:szCs w:val="21"/>
                <w:lang w:bidi="ar-SA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  <w:lang w:bidi="ar-SA"/>
              </w:rPr>
              <w:t>/нежилое</w:t>
            </w:r>
          </w:p>
        </w:tc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4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spacing w:before="120" w:after="0"/>
        <w:jc w:val="both"/>
        <w:rPr>
          <w:rFonts w:ascii="Times New Roman" w:hAnsi="Times New Roman" w:cs="Times New Roman"/>
          <w:b/>
          <w:b/>
          <w:color w:val="000000"/>
          <w:sz w:val="21"/>
          <w:szCs w:val="21"/>
        </w:rPr>
      </w:pPr>
      <w:r>
        <w:rPr>
          <w:rFonts w:cs="Times New Roman" w:ascii="Times New Roman" w:hAnsi="Times New Roman"/>
          <w:b/>
          <w:color w:val="000000"/>
          <w:sz w:val="21"/>
          <w:szCs w:val="21"/>
        </w:rPr>
      </w:r>
    </w:p>
    <w:tbl>
      <w:tblPr>
        <w:tblW w:w="10476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6359"/>
        <w:gridCol w:w="893"/>
        <w:gridCol w:w="967"/>
        <w:gridCol w:w="1582"/>
      </w:tblGrid>
      <w:tr>
        <w:trPr>
          <w:trHeight w:val="40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>
            <w:pPr>
              <w:pStyle w:val="Style24"/>
              <w:rPr>
                <w:rFonts w:ascii="Times New Roman" w:hAnsi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Решение по вопросам, поставленному на голосование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За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Против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Воздержался</w:t>
            </w:r>
          </w:p>
        </w:tc>
      </w:tr>
      <w:tr>
        <w:trPr/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</w:rPr>
              <w:t>1.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Выбор председателя собрания -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 xml:space="preserve">Рахимов Азиз Абдухакимович,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собств. кв.23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softHyphen/>
            </w:r>
          </w:p>
        </w:tc>
      </w:tr>
      <w:tr>
        <w:trPr/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>Выбор секретаря собрания-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Федько Андрей Анатольевич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en-US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собств. кв.294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Выбор счетной комиссии собрания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</w:rPr>
              <w:t>в составе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Горюнова Анастасия Александровна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en-US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собств. кв.231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Кожемяко Олег Валерьевич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en-US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1"/>
                <w:szCs w:val="21"/>
                <w:lang w:val="ru-RU"/>
              </w:rPr>
              <w:t>собств. кв.180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 xml:space="preserve">Выбор совета МКД </w:t>
            </w: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в составе: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>Акишин Евгений Тимофеевич</w:t>
            </w: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, собств. кв. 303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>Шакура Сергей Николаевич</w:t>
            </w: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, собств. кв.282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>Мустафаев Рафет Рефатович</w:t>
            </w: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, собств. кв.225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>Мустафаев Асан Рефатович,</w:t>
            </w: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 xml:space="preserve"> собств. кв.85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>Назарова Алие Джабаровна</w:t>
            </w: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, собств. кв.128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</w:t>
            </w:r>
          </w:p>
        </w:tc>
        <w:tc>
          <w:tcPr>
            <w:tcW w:w="980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286"/>
                <w:tab w:val="left" w:pos="0" w:leader="none"/>
              </w:tabs>
              <w:ind w:left="0" w:right="57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bidi="ar-SA"/>
              </w:rPr>
              <w:t>Выбор Председателя Совета МКД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bidi="ar-SA"/>
              </w:rPr>
              <w:t xml:space="preserve"> (одного из  кандидатов)</w:t>
            </w:r>
          </w:p>
        </w:tc>
      </w:tr>
      <w:tr>
        <w:trPr/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Акишин Евгений Тимофеевич, собств. кв. 303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1"/>
                <w:szCs w:val="21"/>
              </w:rPr>
              <w:t>Мустафаев Рафет Рефатович, собств. кв.225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4.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F1115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F1115"/>
                <w:sz w:val="21"/>
                <w:szCs w:val="21"/>
              </w:rPr>
              <w:t>Определение места хранения копии протокола общего собрания собственников - управляющая организация и Председатель Совета дома.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color w:val="0F1115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color w:val="0F1115"/>
                <w:sz w:val="21"/>
                <w:szCs w:val="21"/>
              </w:rPr>
              <w:t>Определение порядка уведомления о проведении последующих ОСС помещений в МКД и о принятых решениях на ОСС путем размещения на информационных досках в подъездах МКД.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0F1115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Cs/>
                <w:color w:val="0F1115"/>
                <w:sz w:val="21"/>
                <w:szCs w:val="21"/>
              </w:rPr>
              <w:t>Принятие решения о наделении Совета МКД полномочиями на принятие решений о текущем ремонте общего имущества в МКД.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7.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Выбор способа управления МКД - управление многоквартирным домом управляющей организацией ООО "Монолит-Комфорт" ОГРН 1149102086517, ИНН 9102043874.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8.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Утверждение условий договора управления МКД с ООО "Монолит-Комфорт" ОГРН 1149102086517, ИНН 9102043874.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9.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Утверждение платы за содержание жилого/нежилого помещения в размере 41,80 рублей за 1кв.м.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10.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Принятие решения о наделении председателя совета МКД полномочиями на подписание от имени собственников помещений в МКД Договора управления с ООО "Монолит-Комфорт" и дополнительных соглашений к Договору управления.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11.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Принятие решения о наделении председателя совета МКД и/ или одного из членов Совета МКД полномочиями на подписание  актов приемки работ и услуг.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12.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Утверждение способа предоставления актов приемки работ и услуг от ООО "Монолит-Комфорт"  путем направления документов в адрес председателя Совета МКД нарочно или почтовым отправлением.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13.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Принять решение о заключении договора поставки холодного водоснабжения (ХВС) и  водоотведения между ресурсоснабжающей организацией ГУП РК "Вода Крыма" и собственниками помещений в МКД 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14.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Принятие решения о заключении договора поставки электроснабжения между ресурсоснабжающей организацией ГУП РК "Крымэнерго" и собственниками помещений в МКД 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15.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</w:rPr>
              <w:t>Принятие решения об установке индивидуальных домофонов,  подключении собственников помещений  и оплаты обслуживания  домофонной системы, путем заключения договоров ИП Захаровой О.В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  <w:t xml:space="preserve"> непосредственно с собственниками помещений в МКД.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16.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>Принятие решения  о размещении  РЕКЛАМНОЙ КОНСТРУКЦИИ  в виде  объемных букв без подложки с размерами 1500мм*400мм  (10шт) на фасаде МКД, согласно проекта.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17.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 xml:space="preserve">Принятие решения об установлении размера платы за использование фасада в размере 500 руб. с рекламной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>конструкции в месяц (с даты заключения договора, но не позднее 2-х месяцев с даты фактического размещения рекламной конструкции и расходование указанных средств по согласованию с Советом дома.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18.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 xml:space="preserve">Принятие решения о даче согласия на размещение базовой станции сотовой связи на кровле многоквартирного дома по адресу: г. Симферополь, ул. Святителя Гурия, д.1, и о предоставлении части общего имущества (кровли) в пользование на возмездной основе; утвердить общий размер ежемесячной платы за такое пользование в сумме 20 000 (Двадцать тысяч) рублей. 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>
          <w:trHeight w:val="1423" w:hRule="atLeast"/>
        </w:trPr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19.</w:t>
            </w:r>
          </w:p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color w:val="0F1115"/>
                <w:sz w:val="21"/>
                <w:szCs w:val="21"/>
                <w:highlight w:val="white"/>
              </w:rPr>
              <w:t>Принятие решения об остеклении лоджий (балконов) в многоквартирном доме, расположенном по адресу:</w:t>
            </w:r>
          </w:p>
          <w:p>
            <w:pPr>
              <w:pStyle w:val="Style16"/>
              <w:spacing w:lineRule="auto" w:line="240" w:before="0" w:after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color w:val="0F1115"/>
                <w:sz w:val="21"/>
                <w:szCs w:val="21"/>
                <w:highlight w:val="white"/>
              </w:rPr>
              <w:t>г. Симферополь, ул. Святителя Гурия, д.1; одним из следующих способов:</w:t>
            </w:r>
          </w:p>
          <w:p>
            <w:pPr>
              <w:pStyle w:val="Style16"/>
              <w:spacing w:lineRule="auto" w:line="240" w:before="0" w:after="0"/>
              <w:jc w:val="both"/>
              <w:rPr/>
            </w:pP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color w:val="0F1115"/>
                <w:sz w:val="21"/>
                <w:szCs w:val="21"/>
              </w:rPr>
              <w:t>1) прозрачные всепогодные рулонные жалюзи из ПВХ;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>
          <w:trHeight w:val="943" w:hRule="atLeast"/>
        </w:trPr>
        <w:tc>
          <w:tcPr>
            <w:tcW w:w="67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240" w:before="0" w:after="0"/>
              <w:jc w:val="both"/>
              <w:rPr/>
            </w:pPr>
            <w:r>
              <w:rPr>
                <w:rStyle w:val="Style12"/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>2) безрамное остекление с открывающейся створкой для проветривания в режиме работы кондиционера;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20.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  <w:t>У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>тверждение схемы размещения внешних блоков кондиционеров на фасаде здания (общем имуществе) согласно прилагаемому проекту и о предоставлении права на такое размещение собственникам помещений.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21.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Принятие решения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>даче согласия на использование части общего имущества – фасада – для размещения аппарата по очистке и продаже питьевой воды (согласно предлагаемой визуализации), с установкой индивидуальных приборов учёта воды и электроэнергии и компенсацией потреблённых коммунальных ресурсов владельцем аппарата; об утверждении ежемесячной арендной платы в размере 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 xml:space="preserve">5 000  руб./мес. 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22.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>Принятие решения об утверждении платы за обслуживание системы видеонаблюдения в размере 0,71 руб. за 1 кв.м общей площади жилого (нежилого) помещения как дополнительной услуги с включением в платёжный документ ежемесячно отдельной строкой.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23.</w:t>
            </w:r>
          </w:p>
        </w:tc>
        <w:tc>
          <w:tcPr>
            <w:tcW w:w="635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 xml:space="preserve">Наделение управляющей организации ООО «Монолит-Комфорт» полномочиями на заключение от имени собственников помещений договоров об использовании общего имущества  на условиях,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u w:val="none"/>
              </w:rPr>
              <w:t xml:space="preserve">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>что из суммы арендной платы - 70% направляются на содержание общего имущества МКД по решению собственников, а 30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>%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F1115"/>
                <w:sz w:val="21"/>
                <w:szCs w:val="21"/>
                <w:highlight w:val="white"/>
                <w:u w:val="none"/>
              </w:rPr>
              <w:t xml:space="preserve"> направляются управляющей организации ООО «Монолит-Комфорт» на покрытие расходов, связанных с исполнением заключенного договора.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4"/>
              <w:snapToGrid w:val="false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</w:tbl>
    <w:p>
      <w:pPr>
        <w:pStyle w:val="Style23"/>
        <w:spacing w:before="0" w:after="0"/>
        <w:rPr>
          <w:rFonts w:ascii="Times New Roman" w:hAnsi="Times New Roman" w:cs="Times New Roman"/>
          <w:b/>
          <w:b/>
          <w:bCs/>
          <w:iCs/>
          <w:sz w:val="21"/>
          <w:szCs w:val="21"/>
        </w:rPr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</w:r>
    </w:p>
    <w:p>
      <w:pPr>
        <w:pStyle w:val="Style23"/>
        <w:spacing w:before="0" w:after="0"/>
        <w:rPr>
          <w:rFonts w:ascii="Times New Roman" w:hAnsi="Times New Roman" w:cs="Times New Roman"/>
          <w:b/>
          <w:b/>
          <w:bCs/>
          <w:iCs/>
          <w:sz w:val="21"/>
          <w:szCs w:val="21"/>
        </w:rPr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</w:r>
    </w:p>
    <w:p>
      <w:pPr>
        <w:pStyle w:val="Style23"/>
        <w:spacing w:before="120" w:after="0"/>
        <w:jc w:val="both"/>
        <w:rPr/>
      </w:pPr>
      <w:r>
        <w:rPr>
          <w:rFonts w:cs="Times New Roman" w:ascii="Times New Roman" w:hAnsi="Times New Roman"/>
          <w:b/>
          <w:bCs/>
          <w:iCs/>
          <w:sz w:val="21"/>
          <w:szCs w:val="21"/>
        </w:rPr>
        <w:t>Подпись собственника (представителя собственника) ___________________/______________________________</w:t>
      </w:r>
      <w:bookmarkStart w:id="1" w:name="OCRUncertain1521"/>
      <w:bookmarkStart w:id="2" w:name="OCRUncertain152"/>
      <w:bookmarkEnd w:id="1"/>
      <w:bookmarkEnd w:id="2"/>
      <w:r>
        <w:rPr>
          <w:rFonts w:cs="Times New Roman" w:ascii="Times New Roman" w:hAnsi="Times New Roman"/>
          <w:b/>
          <w:bCs/>
          <w:iCs/>
          <w:sz w:val="21"/>
          <w:szCs w:val="21"/>
        </w:rPr>
        <w:t xml:space="preserve"> </w:t>
      </w:r>
    </w:p>
    <w:p>
      <w:pPr>
        <w:pStyle w:val="Style23"/>
        <w:spacing w:before="120" w:after="0"/>
        <w:jc w:val="both"/>
        <w:rPr/>
      </w:pP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cs="Times New Roman" w:ascii="Times New Roman" w:hAnsi="Times New Roman"/>
          <w:iCs/>
          <w:sz w:val="18"/>
          <w:szCs w:val="18"/>
        </w:rPr>
        <w:t>подпись                                          Ф.И.О.</w:t>
      </w:r>
    </w:p>
    <w:sectPr>
      <w:type w:val="nextPage"/>
      <w:pgSz w:w="11906" w:h="16838"/>
      <w:pgMar w:left="720" w:right="720" w:header="0" w:top="510" w:footer="0" w:bottom="338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Liberation Serif">
    <w:altName w:val="Times New Roman"/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6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LineNumbers/>
      <w:suppressAutoHyphens w:val="true"/>
      <w:kinsoku w:val="true"/>
      <w:overflowPunct w:val="true"/>
      <w:autoSpaceDE w:val="true"/>
      <w:bidi w:val="0"/>
      <w:jc w:val="left"/>
    </w:pPr>
    <w:rPr>
      <w:rFonts w:ascii="Liberation Serif;Times New Roman" w:hAnsi="Liberation Serif;Times New Roman" w:eastAsia="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next w:val="Normal"/>
    <w:qFormat/>
    <w:pPr>
      <w:keepNext w:val="true"/>
      <w:keepLines/>
      <w:widowControl/>
      <w:numPr>
        <w:ilvl w:val="0"/>
        <w:numId w:val="1"/>
      </w:numPr>
      <w:suppressAutoHyphens w:val="true"/>
      <w:kinsoku w:val="true"/>
      <w:overflowPunct w:val="true"/>
      <w:autoSpaceDE w:val="true"/>
      <w:bidi w:val="0"/>
      <w:spacing w:before="240" w:after="60"/>
      <w:jc w:val="left"/>
      <w:outlineLvl w:val="0"/>
    </w:pPr>
    <w:rPr>
      <w:rFonts w:ascii="Arial" w:hAnsi="Arial" w:eastAsia="SimSun" w:cs="Arial"/>
      <w:b/>
      <w:bCs/>
      <w:color w:val="auto"/>
      <w:kern w:val="2"/>
      <w:sz w:val="36"/>
      <w:szCs w:val="36"/>
      <w:lang w:val="ru-RU" w:eastAsia="ru-RU" w:bidi="ru-RU"/>
    </w:rPr>
  </w:style>
  <w:style w:type="paragraph" w:styleId="2">
    <w:name w:val="Heading 2"/>
    <w:basedOn w:val="Style15"/>
    <w:next w:val="Style16"/>
    <w:qFormat/>
    <w:pPr>
      <w:numPr>
        <w:ilvl w:val="1"/>
        <w:numId w:val="1"/>
      </w:numPr>
      <w:spacing w:before="200" w:after="0"/>
      <w:outlineLvl w:val="1"/>
    </w:pPr>
    <w:rPr>
      <w:rFonts w:ascii="Liberation Serif;Times New Roman" w:hAnsi="Liberation Serif;Times New Roman" w:eastAsia="SimSun" w:cs="Arial"/>
      <w:b/>
      <w:bCs/>
      <w:sz w:val="36"/>
      <w:szCs w:val="36"/>
    </w:rPr>
  </w:style>
  <w:style w:type="paragraph" w:styleId="3">
    <w:name w:val="Heading 3"/>
    <w:basedOn w:val="2"/>
    <w:next w:val="Normal"/>
    <w:qFormat/>
    <w:pPr>
      <w:keepLines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8"/>
      <w:szCs w:val="28"/>
      <w:lang w:eastAsia="ru-RU" w:bidi="ru-RU"/>
    </w:rPr>
  </w:style>
  <w:style w:type="paragraph" w:styleId="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ind w:hanging="0"/>
      <w:contextualSpacing/>
      <w:outlineLvl w:val="3"/>
    </w:pPr>
    <w:rPr>
      <w:color w:val="666666"/>
    </w:rPr>
  </w:style>
  <w:style w:type="paragraph" w:styleId="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40" w:after="80"/>
      <w:ind w:hanging="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40" w:after="80"/>
      <w:ind w:hanging="0"/>
      <w:contextualSpacing/>
      <w:outlineLvl w:val="5"/>
    </w:pPr>
    <w:rPr>
      <w:i/>
      <w:color w:val="66666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11">
    <w:name w:val="Обычный1"/>
    <w:qFormat/>
    <w:rPr>
      <w:rFonts w:ascii="Liberation Serif;Times New Roman" w:hAnsi="Liberation Serif;Times New Roman" w:eastAsia="SimSun" w:cs="Arial"/>
      <w:color w:val="auto"/>
      <w:kern w:val="2"/>
      <w:position w:val="0"/>
      <w:sz w:val="24"/>
      <w:sz w:val="24"/>
      <w:szCs w:val="24"/>
      <w:vertAlign w:val="baseline"/>
      <w:lang w:val="ru-RU" w:eastAsia="zh-CN" w:bidi="hi-IN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2"/>
      <w:szCs w:val="22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12">
    <w:name w:val="Основной шрифт абзаца1"/>
    <w:qFormat/>
    <w:rPr/>
  </w:style>
  <w:style w:type="character" w:styleId="Style8">
    <w:name w:val="Знак Знак"/>
    <w:qFormat/>
    <w:rPr>
      <w:rFonts w:ascii="Tahoma" w:hAnsi="Tahoma" w:cs="Tahoma"/>
      <w:sz w:val="16"/>
      <w:szCs w:val="16"/>
    </w:rPr>
  </w:style>
  <w:style w:type="character" w:styleId="Style9">
    <w:name w:val="Верхний колонтитул Знак"/>
    <w:qFormat/>
    <w:rPr>
      <w:rFonts w:ascii="Calibri" w:hAnsi="Calibri" w:eastAsia="Calibri" w:cs="Calibri"/>
      <w:sz w:val="22"/>
      <w:szCs w:val="22"/>
    </w:rPr>
  </w:style>
  <w:style w:type="character" w:styleId="Style10">
    <w:name w:val="Нижний колонтитул Знак"/>
    <w:qFormat/>
    <w:rPr>
      <w:rFonts w:ascii="Calibri" w:hAnsi="Calibri" w:eastAsia="Calibri" w:cs="Calibri"/>
      <w:sz w:val="22"/>
      <w:szCs w:val="22"/>
    </w:rPr>
  </w:style>
  <w:style w:type="character" w:styleId="Style11">
    <w:name w:val="Интернет-ссылка"/>
    <w:rPr>
      <w:color w:val="0000FF"/>
      <w:u w:val="single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Символ нумерации"/>
    <w:qFormat/>
    <w:rPr/>
  </w:style>
  <w:style w:type="character" w:styleId="Normaltextrun">
    <w:name w:val="normaltextrun"/>
    <w:basedOn w:val="DefaultParagraphFont"/>
    <w:qFormat/>
    <w:rPr/>
  </w:style>
  <w:style w:type="character" w:styleId="Style14">
    <w:name w:val="Выделение"/>
    <w:qFormat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ascii="Arial" w:hAnsi="Arial" w:cs="Tahoma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WW">
    <w:name w:val="WW-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/>
    <w:rPr/>
  </w:style>
  <w:style w:type="paragraph" w:styleId="13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Style20">
    <w:name w:val="Обычный*"/>
    <w:basedOn w:val="Normal"/>
    <w:qFormat/>
    <w:pPr>
      <w:suppressAutoHyphens w:val="true"/>
    </w:pPr>
    <w:rPr/>
  </w:style>
  <w:style w:type="paragraph" w:styleId="14">
    <w:name w:val="Название1"/>
    <w:basedOn w:val="Normal"/>
    <w:qFormat/>
    <w:pPr>
      <w:spacing w:before="120" w:after="120"/>
    </w:pPr>
    <w:rPr>
      <w:rFonts w:ascii="Arial" w:hAnsi="Arial" w:cs="Tahoma"/>
      <w:i/>
      <w:iCs/>
      <w:sz w:val="20"/>
    </w:rPr>
  </w:style>
  <w:style w:type="paragraph" w:styleId="15">
    <w:name w:val="Указатель1"/>
    <w:basedOn w:val="Normal"/>
    <w:qFormat/>
    <w:pPr/>
    <w:rPr>
      <w:rFonts w:ascii="Arial" w:hAnsi="Arial" w:cs="Tahoma"/>
    </w:rPr>
  </w:style>
  <w:style w:type="paragraph" w:styleId="16">
    <w:name w:val="Обычный (веб)1"/>
    <w:basedOn w:val="Normal"/>
    <w:qFormat/>
    <w:pPr>
      <w:spacing w:before="75" w:after="75"/>
    </w:pPr>
    <w:rPr>
      <w:rFonts w:ascii="Times New Roman" w:hAnsi="Times New Roman" w:eastAsia="Times New Roman" w:cs="Times New Roman"/>
    </w:rPr>
  </w:style>
  <w:style w:type="paragraph" w:styleId="ConsNonformat">
    <w:name w:val="ConsNonformat"/>
    <w:basedOn w:val="Normal"/>
    <w:qFormat/>
    <w:pPr>
      <w:widowControl/>
      <w:suppressAutoHyphens w:val="true"/>
    </w:pPr>
    <w:rPr>
      <w:rFonts w:ascii="Courier New" w:hAnsi="Courier New" w:eastAsia="Times New Roman" w:cs="Courier New"/>
      <w:sz w:val="20"/>
      <w:szCs w:val="20"/>
      <w:lang w:bidi="ar-SA"/>
    </w:rPr>
  </w:style>
  <w:style w:type="paragraph" w:styleId="LONormal">
    <w:name w:val="LO-Normal"/>
    <w:basedOn w:val="Normal"/>
    <w:qFormat/>
    <w:pPr>
      <w:widowControl/>
      <w:suppressAutoHyphens w:val="true"/>
    </w:pPr>
    <w:rPr>
      <w:rFonts w:ascii="Times New Roman" w:hAnsi="Times New Roman" w:eastAsia="Times New Roman" w:cs="Calibri"/>
      <w:sz w:val="20"/>
      <w:szCs w:val="20"/>
      <w:lang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10">
    <w:name w:val="Обычный + 10"/>
    <w:basedOn w:val="Normal"/>
    <w:qFormat/>
    <w:pPr/>
    <w:rPr>
      <w:rFonts w:ascii="Times New Roman" w:hAnsi="Times New Roman" w:eastAsia="Arial" w:cs="Times New Roman"/>
      <w:sz w:val="20"/>
      <w:szCs w:val="20"/>
    </w:rPr>
  </w:style>
  <w:style w:type="paragraph" w:styleId="ConsPlusNonformat">
    <w:name w:val="ConsPlusNonformat"/>
    <w:basedOn w:val="Normal"/>
    <w:qFormat/>
    <w:pPr>
      <w:widowControl/>
      <w:suppressAutoHyphens w:val="true"/>
    </w:pPr>
    <w:rPr>
      <w:rFonts w:ascii="Courier New" w:hAnsi="Courier New" w:eastAsia="Times New Roman" w:cs="Courier New"/>
      <w:sz w:val="20"/>
      <w:szCs w:val="20"/>
      <w:lang w:bidi="ar-SA"/>
    </w:rPr>
  </w:style>
  <w:style w:type="paragraph" w:styleId="Style21">
    <w:name w:val="Верхний и нижний колонтитулы"/>
    <w:basedOn w:val="Normal"/>
    <w:qFormat/>
    <w:pPr>
      <w:tabs>
        <w:tab w:val="clear" w:pos="286"/>
        <w:tab w:val="center" w:pos="4820" w:leader="none"/>
        <w:tab w:val="right" w:pos="9639" w:leader="none"/>
      </w:tabs>
    </w:pPr>
    <w:rPr/>
  </w:style>
  <w:style w:type="paragraph" w:styleId="Style22">
    <w:name w:val="Header"/>
    <w:basedOn w:val="Normal"/>
    <w:pPr>
      <w:tabs>
        <w:tab w:val="clear" w:pos="286"/>
        <w:tab w:val="center" w:pos="4678" w:leader="none"/>
        <w:tab w:val="right" w:pos="9356" w:leader="none"/>
      </w:tabs>
    </w:pPr>
    <w:rPr>
      <w:rFonts w:cs="Times New Roman"/>
    </w:rPr>
  </w:style>
  <w:style w:type="paragraph" w:styleId="Style23">
    <w:name w:val="Footer"/>
    <w:basedOn w:val="Normal"/>
    <w:pPr>
      <w:tabs>
        <w:tab w:val="clear" w:pos="286"/>
        <w:tab w:val="center" w:pos="4678" w:leader="none"/>
        <w:tab w:val="right" w:pos="9356" w:leader="none"/>
      </w:tabs>
    </w:pPr>
    <w:rPr>
      <w:rFonts w:cs="Times New Roman"/>
    </w:rPr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jc w:val="center"/>
    </w:pPr>
    <w:rPr>
      <w:b/>
      <w:bCs/>
    </w:rPr>
  </w:style>
  <w:style w:type="paragraph" w:styleId="Standard">
    <w:name w:val="Standard"/>
    <w:basedOn w:val="Normal"/>
    <w:qFormat/>
    <w:pPr>
      <w:suppressAutoHyphens w:val="true"/>
    </w:pPr>
    <w:rPr>
      <w:rFonts w:cs="Mangal"/>
    </w:rPr>
  </w:style>
  <w:style w:type="paragraph" w:styleId="Style26">
    <w:name w:val="Signature"/>
    <w:basedOn w:val="Normal"/>
    <w:next w:val="Style16"/>
    <w:pPr>
      <w:spacing w:before="240" w:after="60"/>
      <w:jc w:val="center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paragraph" w:styleId="Style27">
    <w:name w:val="Subtitle"/>
    <w:basedOn w:val="Normal"/>
    <w:next w:val="Normal"/>
    <w:qFormat/>
    <w:pPr>
      <w:keepNext w:val="true"/>
      <w:keepLines/>
      <w:spacing w:before="0" w:after="320"/>
      <w:contextualSpacing/>
    </w:pPr>
    <w:rPr>
      <w:color w:val="666666"/>
      <w:sz w:val="30"/>
      <w:szCs w:val="30"/>
    </w:rPr>
  </w:style>
  <w:style w:type="paragraph" w:styleId="TableNormal1">
    <w:name w:val="Table Normal1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17">
    <w:name w:val="Обычная таблица1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LibreOffice/6.2.5.2$Windows_x86 LibreOffice_project/1ec314fa52f458adc18c4f025c545a4e8b22c159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2026-05-22T13:08:00Z</dcterms:created>
  <dc:creator>Ляшенко Е</dc:creator>
  <dc:description/>
  <dc:language>ru-RU</dc:language>
  <cp:lastModifiedBy/>
  <cp:lastPrinted>1995-11-21T17:41:00Z</cp:lastPrinted>
  <dcterms:modified xsi:type="dcterms:W3CDTF">2026-06-18T09:11:19Z</dcterms:modified>
  <cp:revision>8</cp:revision>
  <dc:subject/>
  <dc:title>ПРОТОКОЛ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